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DeckblattUntertitel"/>
      </w:pPr>
      <w:bookmarkStart w:id="0" w:name="Titel"/>
      <w:bookmarkStart w:id="1" w:name="_GoBack"/>
      <w:bookmarkEnd w:id="1"/>
      <w:r>
        <w:t>Anleitung zur Erstellung und zum Lesen von Datenflussdiagrammen</w:t>
      </w:r>
    </w:p>
    <w:bookmarkEnd w:id="0"/>
    <w:p>
      <w:pPr>
        <w:pStyle w:val="DeckblattAutor"/>
      </w:pPr>
    </w:p>
    <w:p>
      <w:pPr>
        <w:pStyle w:val="StandardDeckblatt"/>
      </w:pPr>
      <w:r>
        <w:t>Version:</w:t>
      </w:r>
      <w:r>
        <w:tab/>
      </w:r>
      <w:bookmarkStart w:id="2" w:name="Version"/>
      <w:r>
        <w:t>1.</w:t>
      </w:r>
      <w:bookmarkEnd w:id="2"/>
      <w:r>
        <w:t>5</w:t>
      </w:r>
    </w:p>
    <w:p>
      <w:pPr>
        <w:pStyle w:val="StandardDeckblatt"/>
      </w:pPr>
      <w:r>
        <w:t>Status:</w:t>
      </w:r>
      <w:r>
        <w:tab/>
        <w:t>Ausgeliefert</w:t>
      </w:r>
    </w:p>
    <w:p>
      <w:pPr>
        <w:pStyle w:val="StandardDeckblatt"/>
      </w:pPr>
      <w:r>
        <w:t>Stand:</w:t>
      </w:r>
      <w:r>
        <w:tab/>
      </w:r>
      <w:bookmarkStart w:id="3" w:name="Datum"/>
      <w:r>
        <w:t>13.05.201</w:t>
      </w:r>
      <w:bookmarkEnd w:id="3"/>
      <w:r>
        <w:t>5</w:t>
      </w:r>
    </w:p>
    <w:p>
      <w:pPr>
        <w:spacing w:before="0" w:line="240" w:lineRule="auto"/>
        <w:jc w:val="left"/>
        <w:rPr>
          <w:rFonts w:ascii="Arial" w:hAnsi="Arial"/>
          <w:sz w:val="26"/>
        </w:rPr>
      </w:pPr>
      <w:r>
        <w:br w:type="page"/>
      </w:r>
    </w:p>
    <w:p>
      <w:pPr>
        <w:pStyle w:val="StandardDeckblatt"/>
        <w:tabs>
          <w:tab w:val="clear" w:pos="1531"/>
          <w:tab w:val="left" w:pos="1881"/>
        </w:tabs>
      </w:pPr>
    </w:p>
    <w:p>
      <w:pPr>
        <w:pBdr>
          <w:top w:val="single" w:sz="4" w:space="1" w:color="auto"/>
          <w:left w:val="single" w:sz="4" w:space="1" w:color="auto"/>
          <w:bottom w:val="single" w:sz="4" w:space="1" w:color="auto"/>
          <w:right w:val="single" w:sz="4" w:space="1" w:color="auto"/>
        </w:pBdr>
        <w:shd w:val="clear" w:color="auto" w:fill="F2F2F2"/>
        <w:spacing w:before="6000" w:after="240"/>
        <w:jc w:val="center"/>
      </w:pPr>
      <w:r>
        <w:rPr>
          <w:noProof/>
        </w:rPr>
        <w:drawing>
          <wp:inline distT="0" distB="0" distL="0" distR="0">
            <wp:extent cx="850900" cy="297815"/>
            <wp:effectExtent l="0" t="0" r="6350" b="6985"/>
            <wp:docPr id="10" name="Grafik 10" descr="Creative Commons Lizenzvertr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ative Commons Lizenzvertra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0900" cy="297815"/>
                    </a:xfrm>
                    <a:prstGeom prst="rect">
                      <a:avLst/>
                    </a:prstGeom>
                    <a:noFill/>
                    <a:ln>
                      <a:noFill/>
                    </a:ln>
                  </pic:spPr>
                </pic:pic>
              </a:graphicData>
            </a:graphic>
          </wp:inline>
        </w:drawing>
      </w:r>
    </w:p>
    <w:p>
      <w:pPr>
        <w:pBdr>
          <w:top w:val="single" w:sz="4" w:space="1" w:color="auto"/>
          <w:left w:val="single" w:sz="4" w:space="1" w:color="auto"/>
          <w:bottom w:val="single" w:sz="4" w:space="1" w:color="auto"/>
          <w:right w:val="single" w:sz="4" w:space="1" w:color="auto"/>
        </w:pBdr>
        <w:shd w:val="clear" w:color="auto" w:fill="F2F2F2"/>
        <w:spacing w:before="0" w:after="240" w:line="240" w:lineRule="auto"/>
        <w:jc w:val="center"/>
        <w:rPr>
          <w:rFonts w:ascii="Arial" w:hAnsi="Arial"/>
          <w:sz w:val="20"/>
        </w:rPr>
      </w:pPr>
      <w:r>
        <w:rPr>
          <w:rFonts w:ascii="Arial" w:hAnsi="Arial"/>
          <w:sz w:val="20"/>
        </w:rPr>
        <w:t>„</w:t>
      </w:r>
      <w:r>
        <w:rPr>
          <w:rFonts w:ascii="Arial" w:hAnsi="Arial"/>
          <w:sz w:val="20"/>
        </w:rPr>
        <w:fldChar w:fldCharType="begin"/>
      </w:r>
      <w:r>
        <w:rPr>
          <w:rFonts w:ascii="Arial" w:hAnsi="Arial"/>
          <w:sz w:val="20"/>
        </w:rPr>
        <w:instrText xml:space="preserve"> TITLE   \* MERGEFORMAT </w:instrText>
      </w:r>
      <w:r>
        <w:rPr>
          <w:rFonts w:ascii="Arial" w:hAnsi="Arial"/>
          <w:sz w:val="20"/>
        </w:rPr>
        <w:fldChar w:fldCharType="separate"/>
      </w:r>
      <w:r>
        <w:rPr>
          <w:rFonts w:ascii="Arial" w:hAnsi="Arial"/>
          <w:sz w:val="20"/>
        </w:rPr>
        <w:t>Anleitung zu Datenflussdiagrammen</w:t>
      </w:r>
      <w:r>
        <w:rPr>
          <w:rFonts w:ascii="Arial" w:hAnsi="Arial"/>
          <w:sz w:val="20"/>
        </w:rPr>
        <w:fldChar w:fldCharType="end"/>
      </w:r>
      <w:r>
        <w:rPr>
          <w:rFonts w:ascii="Arial" w:hAnsi="Arial"/>
          <w:sz w:val="20"/>
        </w:rPr>
        <w:t>“</w:t>
      </w:r>
      <w:r>
        <w:rPr>
          <w:rFonts w:ascii="Arial" w:hAnsi="Arial"/>
          <w:sz w:val="20"/>
        </w:rPr>
        <w:br/>
        <w:t xml:space="preserve">des </w:t>
      </w:r>
      <w:hyperlink r:id="rId10" w:history="1">
        <w:r>
          <w:rPr>
            <w:rFonts w:ascii="Arial" w:hAnsi="Arial"/>
            <w:color w:val="808080"/>
            <w:sz w:val="20"/>
            <w:u w:val="single"/>
          </w:rPr>
          <w:t>Bundesverwaltungsamts</w:t>
        </w:r>
      </w:hyperlink>
      <w:r>
        <w:rPr>
          <w:rFonts w:ascii="Arial" w:hAnsi="Arial"/>
          <w:sz w:val="20"/>
        </w:rPr>
        <w:t xml:space="preserve"> ist lizenziert unter einer</w:t>
      </w:r>
      <w:r>
        <w:rPr>
          <w:rFonts w:ascii="Arial" w:hAnsi="Arial"/>
          <w:sz w:val="20"/>
        </w:rPr>
        <w:br/>
      </w:r>
      <w:hyperlink r:id="rId11" w:history="1">
        <w:r>
          <w:rPr>
            <w:rFonts w:ascii="Arial" w:hAnsi="Arial"/>
            <w:color w:val="808080"/>
            <w:sz w:val="20"/>
            <w:u w:val="single"/>
          </w:rPr>
          <w:t>Creative Commons Namensnennung 4.0 International Lizenz</w:t>
        </w:r>
      </w:hyperlink>
      <w:r>
        <w:rPr>
          <w:rFonts w:ascii="Arial" w:hAnsi="Arial"/>
          <w:sz w:val="20"/>
        </w:rPr>
        <w:t>.</w:t>
      </w:r>
    </w:p>
    <w:p>
      <w:pPr>
        <w:pBdr>
          <w:top w:val="single" w:sz="4" w:space="1" w:color="auto"/>
          <w:left w:val="single" w:sz="4" w:space="1" w:color="auto"/>
          <w:bottom w:val="single" w:sz="4" w:space="1" w:color="auto"/>
          <w:right w:val="single" w:sz="4" w:space="1" w:color="auto"/>
        </w:pBdr>
        <w:shd w:val="clear" w:color="auto" w:fill="F2F2F2"/>
        <w:spacing w:before="0"/>
        <w:jc w:val="center"/>
      </w:pPr>
      <w:r>
        <w:rPr>
          <w:rFonts w:ascii="Arial" w:hAnsi="Arial"/>
          <w:sz w:val="20"/>
        </w:rPr>
        <w:t xml:space="preserve">Die Lizenzbestimmungen können unter folgender URL heruntergeladen werden: </w:t>
      </w:r>
      <w:hyperlink r:id="rId12" w:history="1">
        <w:r>
          <w:rPr>
            <w:rFonts w:ascii="Arial" w:hAnsi="Arial"/>
            <w:color w:val="808080"/>
            <w:sz w:val="20"/>
            <w:u w:val="single"/>
          </w:rPr>
          <w:t>http://creativecommons.org/licenses/by/4.0</w:t>
        </w:r>
      </w:hyperlink>
    </w:p>
    <w:p>
      <w:pPr>
        <w:spacing w:before="0"/>
        <w:ind w:left="-113"/>
        <w:jc w:val="left"/>
        <w:rPr>
          <w:i/>
          <w:sz w:val="18"/>
          <w:szCs w:val="18"/>
        </w:rPr>
      </w:pPr>
      <w:r>
        <w:rPr>
          <w:i/>
          <w:sz w:val="18"/>
          <w:szCs w:val="18"/>
        </w:rPr>
        <w:t>Dieser Lizenztext bezieht sich auf die Vorlage. In Dokumenten, die auf der Vorlage basieren, ist dieser Text zu löschen.</w:t>
      </w:r>
    </w:p>
    <w:p>
      <w:pPr>
        <w:pStyle w:val="StandardDeckblatt"/>
      </w:pPr>
    </w:p>
    <w:p>
      <w:pPr>
        <w:sectPr>
          <w:headerReference w:type="even" r:id="rId13"/>
          <w:headerReference w:type="default" r:id="rId14"/>
          <w:footerReference w:type="even" r:id="rId15"/>
          <w:footerReference w:type="first" r:id="rId16"/>
          <w:pgSz w:w="11907" w:h="16840" w:code="9"/>
          <w:pgMar w:top="2778" w:right="1304" w:bottom="2154" w:left="1191" w:header="1446" w:footer="454" w:gutter="0"/>
          <w:pgNumType w:fmt="lowerRoman"/>
          <w:cols w:space="720"/>
          <w:docGrid w:linePitch="326"/>
        </w:sectPr>
      </w:pPr>
    </w:p>
    <w:p>
      <w:pPr>
        <w:pStyle w:val="Zwischenber1"/>
      </w:pPr>
      <w:bookmarkStart w:id="4" w:name="Zusammenfassung"/>
      <w:r>
        <w:t>Zusammenfassung</w:t>
      </w:r>
    </w:p>
    <w:p/>
    <w:p>
      <w:pPr>
        <w:pStyle w:val="Zwischenber1"/>
      </w:pPr>
      <w:bookmarkStart w:id="5" w:name="Historie"/>
      <w:bookmarkEnd w:id="4"/>
      <w:r>
        <w:t>Historie</w:t>
      </w:r>
    </w:p>
    <w:p>
      <w:pPr>
        <w:spacing w:before="0"/>
      </w:pPr>
    </w:p>
    <w:tbl>
      <w:tblPr>
        <w:tblW w:w="0" w:type="auto"/>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993"/>
        <w:gridCol w:w="1275"/>
        <w:gridCol w:w="1276"/>
        <w:gridCol w:w="1559"/>
        <w:gridCol w:w="3105"/>
      </w:tblGrid>
      <w:tr>
        <w:tc>
          <w:tcPr>
            <w:tcW w:w="993" w:type="dxa"/>
          </w:tcPr>
          <w:p>
            <w:pPr>
              <w:pStyle w:val="StandardTabelle"/>
              <w:rPr>
                <w:rFonts w:ascii="Arial" w:hAnsi="Arial"/>
              </w:rPr>
            </w:pPr>
            <w:r>
              <w:rPr>
                <w:rFonts w:ascii="Arial" w:hAnsi="Arial"/>
              </w:rPr>
              <w:t>Version</w:t>
            </w:r>
          </w:p>
        </w:tc>
        <w:tc>
          <w:tcPr>
            <w:tcW w:w="1275" w:type="dxa"/>
          </w:tcPr>
          <w:p>
            <w:pPr>
              <w:pStyle w:val="StandardTabelle"/>
              <w:rPr>
                <w:rFonts w:ascii="Arial" w:hAnsi="Arial"/>
              </w:rPr>
            </w:pPr>
            <w:r>
              <w:rPr>
                <w:rFonts w:ascii="Arial" w:hAnsi="Arial"/>
              </w:rPr>
              <w:t>Status</w:t>
            </w:r>
          </w:p>
        </w:tc>
        <w:tc>
          <w:tcPr>
            <w:tcW w:w="1276" w:type="dxa"/>
          </w:tcPr>
          <w:p>
            <w:pPr>
              <w:pStyle w:val="StandardTabelle"/>
              <w:rPr>
                <w:rFonts w:ascii="Arial" w:hAnsi="Arial"/>
              </w:rPr>
            </w:pPr>
            <w:r>
              <w:rPr>
                <w:rFonts w:ascii="Arial" w:hAnsi="Arial"/>
              </w:rPr>
              <w:t>Datum</w:t>
            </w:r>
          </w:p>
        </w:tc>
        <w:tc>
          <w:tcPr>
            <w:tcW w:w="1559" w:type="dxa"/>
          </w:tcPr>
          <w:p>
            <w:pPr>
              <w:pStyle w:val="StandardTabelle"/>
              <w:rPr>
                <w:rFonts w:ascii="Arial" w:hAnsi="Arial"/>
              </w:rPr>
            </w:pPr>
            <w:r>
              <w:rPr>
                <w:rFonts w:ascii="Arial" w:hAnsi="Arial"/>
              </w:rPr>
              <w:t>Autor(en)</w:t>
            </w:r>
          </w:p>
        </w:tc>
        <w:tc>
          <w:tcPr>
            <w:tcW w:w="3105" w:type="dxa"/>
          </w:tcPr>
          <w:p>
            <w:pPr>
              <w:pStyle w:val="StandardTabelle"/>
              <w:rPr>
                <w:rFonts w:ascii="Arial" w:hAnsi="Arial"/>
              </w:rPr>
            </w:pPr>
            <w:r>
              <w:rPr>
                <w:rFonts w:ascii="Arial" w:hAnsi="Arial"/>
              </w:rPr>
              <w:t>Erläuterung</w:t>
            </w:r>
          </w:p>
        </w:tc>
      </w:tr>
      <w:tr>
        <w:tc>
          <w:tcPr>
            <w:tcW w:w="993" w:type="dxa"/>
          </w:tcPr>
          <w:p>
            <w:pPr>
              <w:pStyle w:val="StandardTabelle"/>
            </w:pPr>
            <w:r>
              <w:t>1.0</w:t>
            </w:r>
          </w:p>
        </w:tc>
        <w:tc>
          <w:tcPr>
            <w:tcW w:w="1275" w:type="dxa"/>
          </w:tcPr>
          <w:p>
            <w:pPr>
              <w:pStyle w:val="StandardTabelle"/>
            </w:pPr>
            <w:r>
              <w:t>Ausgeliefert</w:t>
            </w:r>
          </w:p>
        </w:tc>
        <w:tc>
          <w:tcPr>
            <w:tcW w:w="1276" w:type="dxa"/>
          </w:tcPr>
          <w:p>
            <w:pPr>
              <w:pStyle w:val="StandardTabelle"/>
            </w:pPr>
            <w:r>
              <w:t>14.08.2012</w:t>
            </w:r>
          </w:p>
        </w:tc>
        <w:tc>
          <w:tcPr>
            <w:tcW w:w="1559" w:type="dxa"/>
          </w:tcPr>
          <w:p>
            <w:pPr>
              <w:pStyle w:val="StandardTabelle"/>
            </w:pPr>
            <w:r>
              <w:t>Capgemini Deutschland GmbH</w:t>
            </w:r>
          </w:p>
        </w:tc>
        <w:tc>
          <w:tcPr>
            <w:tcW w:w="3105" w:type="dxa"/>
          </w:tcPr>
          <w:p>
            <w:pPr>
              <w:pStyle w:val="StandardTabelle"/>
            </w:pPr>
            <w:r>
              <w:t>Initiale Erstellung und Auslieferung</w:t>
            </w:r>
          </w:p>
        </w:tc>
      </w:tr>
      <w:tr>
        <w:tc>
          <w:tcPr>
            <w:tcW w:w="993" w:type="dxa"/>
          </w:tcPr>
          <w:p>
            <w:pPr>
              <w:pStyle w:val="StandardTabelle"/>
            </w:pPr>
            <w:r>
              <w:t>1.3</w:t>
            </w:r>
          </w:p>
        </w:tc>
        <w:tc>
          <w:tcPr>
            <w:tcW w:w="1275" w:type="dxa"/>
          </w:tcPr>
          <w:p>
            <w:pPr>
              <w:pStyle w:val="StandardTabelle"/>
            </w:pPr>
            <w:r>
              <w:t>Ausgeliefert</w:t>
            </w:r>
          </w:p>
        </w:tc>
        <w:tc>
          <w:tcPr>
            <w:tcW w:w="1276" w:type="dxa"/>
          </w:tcPr>
          <w:p>
            <w:pPr>
              <w:pStyle w:val="StandardTabelle"/>
            </w:pPr>
            <w:r>
              <w:t>30.09.2014</w:t>
            </w:r>
          </w:p>
        </w:tc>
        <w:tc>
          <w:tcPr>
            <w:tcW w:w="1559" w:type="dxa"/>
          </w:tcPr>
          <w:p>
            <w:pPr>
              <w:pStyle w:val="StandardTabelle"/>
            </w:pPr>
            <w:r>
              <w:t>msg systems AG</w:t>
            </w:r>
          </w:p>
        </w:tc>
        <w:tc>
          <w:tcPr>
            <w:tcW w:w="3105" w:type="dxa"/>
          </w:tcPr>
          <w:p>
            <w:pPr>
              <w:pStyle w:val="StandardTabelle"/>
            </w:pPr>
            <w:r>
              <w:t>Beispiel und Abbildungen mit Bezug zum BVA gegen neutrales Beispiel ausgetauscht</w:t>
            </w:r>
          </w:p>
        </w:tc>
      </w:tr>
      <w:tr>
        <w:tc>
          <w:tcPr>
            <w:tcW w:w="993" w:type="dxa"/>
          </w:tcPr>
          <w:p>
            <w:pPr>
              <w:pStyle w:val="StandardTabelle"/>
            </w:pPr>
            <w:r>
              <w:t>1.4</w:t>
            </w:r>
          </w:p>
        </w:tc>
        <w:tc>
          <w:tcPr>
            <w:tcW w:w="1275" w:type="dxa"/>
          </w:tcPr>
          <w:p>
            <w:pPr>
              <w:pStyle w:val="StandardTabelle"/>
            </w:pPr>
            <w:r>
              <w:t>Ausgeliefert</w:t>
            </w:r>
          </w:p>
        </w:tc>
        <w:tc>
          <w:tcPr>
            <w:tcW w:w="1276" w:type="dxa"/>
          </w:tcPr>
          <w:p>
            <w:pPr>
              <w:pStyle w:val="StandardTabelle"/>
            </w:pPr>
            <w:r>
              <w:t>26.03.2015</w:t>
            </w:r>
          </w:p>
        </w:tc>
        <w:tc>
          <w:tcPr>
            <w:tcW w:w="1559" w:type="dxa"/>
          </w:tcPr>
          <w:p>
            <w:pPr>
              <w:pStyle w:val="StandardTabelle"/>
            </w:pPr>
            <w:r>
              <w:t>msg systems AG</w:t>
            </w:r>
          </w:p>
        </w:tc>
        <w:tc>
          <w:tcPr>
            <w:tcW w:w="3105" w:type="dxa"/>
          </w:tcPr>
          <w:p>
            <w:pPr>
              <w:pStyle w:val="StandardTabelle"/>
            </w:pPr>
            <w:r>
              <w:t>Überarbeitet, Bereitstellung für Review</w:t>
            </w:r>
          </w:p>
        </w:tc>
      </w:tr>
      <w:tr>
        <w:tc>
          <w:tcPr>
            <w:tcW w:w="993" w:type="dxa"/>
          </w:tcPr>
          <w:p>
            <w:pPr>
              <w:pStyle w:val="StandardTabelle"/>
            </w:pPr>
            <w:r>
              <w:t>1.5</w:t>
            </w:r>
          </w:p>
        </w:tc>
        <w:tc>
          <w:tcPr>
            <w:tcW w:w="1275" w:type="dxa"/>
          </w:tcPr>
          <w:p>
            <w:pPr>
              <w:pStyle w:val="StandardTabelle"/>
            </w:pPr>
            <w:r>
              <w:t>Ausgeliefert</w:t>
            </w:r>
          </w:p>
        </w:tc>
        <w:tc>
          <w:tcPr>
            <w:tcW w:w="1276" w:type="dxa"/>
          </w:tcPr>
          <w:p>
            <w:pPr>
              <w:pStyle w:val="StandardTabelle"/>
            </w:pPr>
            <w:r>
              <w:t>13.05.2015</w:t>
            </w:r>
          </w:p>
        </w:tc>
        <w:tc>
          <w:tcPr>
            <w:tcW w:w="1559" w:type="dxa"/>
          </w:tcPr>
          <w:p>
            <w:pPr>
              <w:pStyle w:val="StandardTabelle"/>
            </w:pPr>
            <w:r>
              <w:t>msg systems AG</w:t>
            </w:r>
          </w:p>
        </w:tc>
        <w:tc>
          <w:tcPr>
            <w:tcW w:w="3105" w:type="dxa"/>
          </w:tcPr>
          <w:p>
            <w:pPr>
              <w:pStyle w:val="StandardTabelle"/>
            </w:pPr>
            <w:r>
              <w:t>bereinigt, Kommentare entfernt, Änderungen angenommen</w:t>
            </w:r>
          </w:p>
        </w:tc>
      </w:tr>
    </w:tbl>
    <w:p>
      <w:pPr>
        <w:ind w:left="851" w:hanging="851"/>
        <w:sectPr>
          <w:footerReference w:type="default" r:id="rId17"/>
          <w:headerReference w:type="first" r:id="rId18"/>
          <w:footerReference w:type="first" r:id="rId19"/>
          <w:pgSz w:w="11907" w:h="16840" w:code="9"/>
          <w:pgMar w:top="2778" w:right="1304" w:bottom="907" w:left="1191" w:header="1446" w:footer="454" w:gutter="0"/>
          <w:pgNumType w:fmt="lowerRoman" w:start="1"/>
          <w:cols w:space="720"/>
          <w:docGrid w:linePitch="326"/>
        </w:sectPr>
      </w:pPr>
    </w:p>
    <w:p>
      <w:pPr>
        <w:pStyle w:val="Zwischenber1"/>
      </w:pPr>
      <w:bookmarkStart w:id="6" w:name="Inh"/>
      <w:bookmarkEnd w:id="5"/>
      <w:r>
        <w:t>Inhaltsverzeichnis</w:t>
      </w:r>
    </w:p>
    <w:p>
      <w:pPr>
        <w:pStyle w:val="Verzeichnis1"/>
        <w:rPr>
          <w:rFonts w:ascii="Calibri" w:hAnsi="Calibri"/>
          <w:b w:val="0"/>
          <w:szCs w:val="22"/>
        </w:rPr>
      </w:pPr>
      <w:r>
        <w:rPr>
          <w:b w:val="0"/>
        </w:rPr>
        <w:fldChar w:fldCharType="begin"/>
      </w:r>
      <w:r>
        <w:rPr>
          <w:b w:val="0"/>
        </w:rPr>
        <w:instrText xml:space="preserve"> TOC </w:instrText>
      </w:r>
      <w:r>
        <w:rPr>
          <w:b w:val="0"/>
        </w:rPr>
        <w:fldChar w:fldCharType="separate"/>
      </w:r>
      <w:r>
        <w:t>1</w:t>
      </w:r>
      <w:r>
        <w:rPr>
          <w:rFonts w:ascii="Calibri" w:hAnsi="Calibri"/>
          <w:b w:val="0"/>
          <w:szCs w:val="22"/>
        </w:rPr>
        <w:tab/>
      </w:r>
      <w:r>
        <w:t>Erklärung der Darstellung von Datenflussdiagrammen</w:t>
      </w:r>
      <w:r>
        <w:tab/>
      </w:r>
      <w:r>
        <w:fldChar w:fldCharType="begin"/>
      </w:r>
      <w:r>
        <w:instrText xml:space="preserve"> PAGEREF _Toc397355714 \h </w:instrText>
      </w:r>
      <w:r>
        <w:fldChar w:fldCharType="separate"/>
      </w:r>
      <w:r>
        <w:t>1</w:t>
      </w:r>
      <w:r>
        <w:fldChar w:fldCharType="end"/>
      </w:r>
    </w:p>
    <w:p>
      <w:pPr>
        <w:pStyle w:val="Verzeichnis1"/>
        <w:rPr>
          <w:rFonts w:ascii="Calibri" w:hAnsi="Calibri"/>
          <w:b w:val="0"/>
          <w:szCs w:val="22"/>
        </w:rPr>
      </w:pPr>
      <w:r>
        <w:t>2</w:t>
      </w:r>
      <w:r>
        <w:rPr>
          <w:rFonts w:ascii="Calibri" w:hAnsi="Calibri"/>
          <w:b w:val="0"/>
          <w:szCs w:val="22"/>
        </w:rPr>
        <w:tab/>
      </w:r>
      <w:r>
        <w:t>Beispiel</w:t>
      </w:r>
      <w:r>
        <w:tab/>
      </w:r>
      <w:r>
        <w:fldChar w:fldCharType="begin"/>
      </w:r>
      <w:r>
        <w:instrText xml:space="preserve"> PAGEREF _Toc397355715 \h </w:instrText>
      </w:r>
      <w:r>
        <w:fldChar w:fldCharType="separate"/>
      </w:r>
      <w:r>
        <w:t>3</w:t>
      </w:r>
      <w:r>
        <w:fldChar w:fldCharType="end"/>
      </w:r>
    </w:p>
    <w:p>
      <w:pPr>
        <w:pStyle w:val="Verzeichnis1"/>
        <w:rPr>
          <w:rFonts w:ascii="Calibri" w:hAnsi="Calibri"/>
          <w:b w:val="0"/>
          <w:szCs w:val="22"/>
        </w:rPr>
      </w:pPr>
      <w:r>
        <w:t>3</w:t>
      </w:r>
      <w:r>
        <w:rPr>
          <w:rFonts w:ascii="Calibri" w:hAnsi="Calibri"/>
          <w:b w:val="0"/>
          <w:szCs w:val="22"/>
        </w:rPr>
        <w:tab/>
      </w:r>
      <w:r>
        <w:t>Datenflüsse in der Anwendungsdomäne XYZ</w:t>
      </w:r>
      <w:r>
        <w:tab/>
      </w:r>
      <w:r>
        <w:fldChar w:fldCharType="begin"/>
      </w:r>
      <w:r>
        <w:instrText xml:space="preserve"> PAGEREF _Toc397355716 \h </w:instrText>
      </w:r>
      <w:r>
        <w:fldChar w:fldCharType="separate"/>
      </w:r>
      <w:r>
        <w:t>4</w:t>
      </w:r>
      <w:r>
        <w:fldChar w:fldCharType="end"/>
      </w:r>
    </w:p>
    <w:p>
      <w:pPr>
        <w:pStyle w:val="Verzeichnis2"/>
        <w:rPr>
          <w:rFonts w:ascii="Calibri" w:hAnsi="Calibri"/>
          <w:szCs w:val="22"/>
        </w:rPr>
      </w:pPr>
      <w:r>
        <w:t>3.1</w:t>
      </w:r>
      <w:r>
        <w:rPr>
          <w:rFonts w:ascii="Calibri" w:hAnsi="Calibri"/>
          <w:szCs w:val="22"/>
        </w:rPr>
        <w:tab/>
      </w:r>
      <w:r>
        <w:t>Schreiben in Datenbestand 1</w:t>
      </w:r>
      <w:r>
        <w:tab/>
      </w:r>
      <w:r>
        <w:fldChar w:fldCharType="begin"/>
      </w:r>
      <w:r>
        <w:instrText xml:space="preserve"> PAGEREF _Toc397355717 \h </w:instrText>
      </w:r>
      <w:r>
        <w:fldChar w:fldCharType="separate"/>
      </w:r>
      <w:r>
        <w:t>5</w:t>
      </w:r>
      <w:r>
        <w:fldChar w:fldCharType="end"/>
      </w:r>
    </w:p>
    <w:p>
      <w:pPr>
        <w:pStyle w:val="Verzeichnis2"/>
        <w:rPr>
          <w:rFonts w:ascii="Calibri" w:hAnsi="Calibri"/>
          <w:szCs w:val="22"/>
        </w:rPr>
      </w:pPr>
      <w:r>
        <w:t>3.2</w:t>
      </w:r>
      <w:r>
        <w:rPr>
          <w:rFonts w:ascii="Calibri" w:hAnsi="Calibri"/>
          <w:szCs w:val="22"/>
        </w:rPr>
        <w:tab/>
      </w:r>
      <w:r>
        <w:t>&lt;weiteres Fachliches Thema&gt;</w:t>
      </w:r>
      <w:r>
        <w:tab/>
      </w:r>
      <w:r>
        <w:fldChar w:fldCharType="begin"/>
      </w:r>
      <w:r>
        <w:instrText xml:space="preserve"> PAGEREF _Toc397355718 \h </w:instrText>
      </w:r>
      <w:r>
        <w:fldChar w:fldCharType="separate"/>
      </w:r>
      <w:r>
        <w:t>7</w:t>
      </w:r>
      <w:r>
        <w:fldChar w:fldCharType="end"/>
      </w:r>
    </w:p>
    <w:p>
      <w:pPr>
        <w:pStyle w:val="Verzeichnis2"/>
        <w:rPr>
          <w:rFonts w:ascii="Calibri" w:hAnsi="Calibri"/>
          <w:szCs w:val="22"/>
        </w:rPr>
      </w:pPr>
      <w:r>
        <w:t>3.3</w:t>
      </w:r>
      <w:r>
        <w:rPr>
          <w:rFonts w:ascii="Calibri" w:hAnsi="Calibri"/>
          <w:szCs w:val="22"/>
        </w:rPr>
        <w:tab/>
      </w:r>
      <w:r>
        <w:t>&lt;weiteres Fachliches Thema&gt;</w:t>
      </w:r>
      <w:r>
        <w:tab/>
      </w:r>
      <w:r>
        <w:fldChar w:fldCharType="begin"/>
      </w:r>
      <w:r>
        <w:instrText xml:space="preserve"> PAGEREF _Toc397355719 \h </w:instrText>
      </w:r>
      <w:r>
        <w:fldChar w:fldCharType="separate"/>
      </w:r>
      <w:r>
        <w:t>8</w:t>
      </w:r>
      <w:r>
        <w:fldChar w:fldCharType="end"/>
      </w:r>
    </w:p>
    <w:p>
      <w:pPr>
        <w:pStyle w:val="Verzeichnis1"/>
        <w:rPr>
          <w:rFonts w:ascii="Calibri" w:hAnsi="Calibri"/>
          <w:b w:val="0"/>
          <w:szCs w:val="22"/>
        </w:rPr>
      </w:pPr>
      <w:r>
        <w:t>4</w:t>
      </w:r>
      <w:r>
        <w:rPr>
          <w:rFonts w:ascii="Calibri" w:hAnsi="Calibri"/>
          <w:b w:val="0"/>
          <w:szCs w:val="22"/>
        </w:rPr>
        <w:tab/>
      </w:r>
      <w:r>
        <w:t>Datenflüsse in der Anwendungsdomäne ABC</w:t>
      </w:r>
      <w:r>
        <w:tab/>
      </w:r>
      <w:r>
        <w:fldChar w:fldCharType="begin"/>
      </w:r>
      <w:r>
        <w:instrText xml:space="preserve"> PAGEREF _Toc397355720 \h </w:instrText>
      </w:r>
      <w:r>
        <w:fldChar w:fldCharType="separate"/>
      </w:r>
      <w:r>
        <w:t>9</w:t>
      </w:r>
      <w:r>
        <w:fldChar w:fldCharType="end"/>
      </w:r>
    </w:p>
    <w:p>
      <w:r>
        <w:rPr>
          <w:b/>
        </w:rPr>
        <w:fldChar w:fldCharType="end"/>
      </w:r>
    </w:p>
    <w:p>
      <w:pPr>
        <w:sectPr>
          <w:footerReference w:type="first" r:id="rId20"/>
          <w:pgSz w:w="11907" w:h="16840" w:code="9"/>
          <w:pgMar w:top="2778" w:right="1304" w:bottom="907" w:left="1191" w:header="1446" w:footer="454" w:gutter="0"/>
          <w:pgNumType w:fmt="lowerRoman"/>
          <w:cols w:space="720"/>
          <w:docGrid w:linePitch="326"/>
        </w:sectPr>
      </w:pPr>
    </w:p>
    <w:p>
      <w:pPr>
        <w:pStyle w:val="berschrift1"/>
      </w:pPr>
      <w:bookmarkStart w:id="7" w:name="_Toc397355714"/>
      <w:bookmarkEnd w:id="6"/>
      <w:r>
        <w:t>Erklärung der Darstellung von Datenflussdiagrammen</w:t>
      </w:r>
      <w:bookmarkEnd w:id="7"/>
    </w:p>
    <w:p>
      <w:r>
        <w:t>Eine Anwendungslandschaft besteht aus mehreren Anwendungssystemen, die Daten untereinander und mit ihren Nutzern austauschen. Die Nutzer sind entweder über Schnittstellen zu diesen Anwendungen angebunden, oder benutzen die Anwendungen der Anwendungslandschaft über deren graphische Oberflächen oder Batches.</w:t>
      </w:r>
    </w:p>
    <w:p>
      <w:r>
        <w:t>Die Datenflussdiagramme werden im Dokument nach Anwendungsdomänen und darin nach den verschiedenen fachlichen Themen aufgeteilt. Die Aufteilung muss so gewählt werden, dass jedes Diagramm nicht zu komplex wird. Eine feinere Aufteilung ist also eine gute Lösung, wenn ein Diagramm zu komplex ist.</w:t>
      </w:r>
    </w:p>
    <w:p>
      <w:r>
        <w:t>Die Darstellung der Datenflussdiagramme enthält folgende Elemente: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5092"/>
      </w:tblGrid>
      <w:tr>
        <w:tc>
          <w:tcPr>
            <w:tcW w:w="3517" w:type="dxa"/>
            <w:shd w:val="clear" w:color="auto" w:fill="BFBFBF"/>
          </w:tcPr>
          <w:p>
            <w:pPr>
              <w:spacing w:line="240" w:lineRule="auto"/>
              <w:jc w:val="left"/>
              <w:rPr>
                <w:b/>
              </w:rPr>
            </w:pPr>
            <w:r>
              <w:rPr>
                <w:b/>
              </w:rPr>
              <w:t>Element</w:t>
            </w:r>
          </w:p>
        </w:tc>
        <w:tc>
          <w:tcPr>
            <w:tcW w:w="6111" w:type="dxa"/>
            <w:shd w:val="clear" w:color="auto" w:fill="BFBFBF"/>
          </w:tcPr>
          <w:p>
            <w:pPr>
              <w:spacing w:line="240" w:lineRule="auto"/>
              <w:jc w:val="left"/>
              <w:rPr>
                <w:b/>
              </w:rPr>
            </w:pPr>
            <w:r>
              <w:rPr>
                <w:b/>
              </w:rPr>
              <w:t>Beschreibung</w:t>
            </w:r>
          </w:p>
        </w:tc>
      </w:tr>
      <w:tr>
        <w:tc>
          <w:tcPr>
            <w:tcW w:w="3517" w:type="dxa"/>
          </w:tcPr>
          <w:p>
            <w:pPr>
              <w:jc w:val="center"/>
            </w:pPr>
            <w:r>
              <w:rPr>
                <w:noProof/>
              </w:rPr>
              <w:drawing>
                <wp:inline distT="0" distB="0" distL="0" distR="0">
                  <wp:extent cx="1148080" cy="105283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48080" cy="1052830"/>
                          </a:xfrm>
                          <a:prstGeom prst="rect">
                            <a:avLst/>
                          </a:prstGeom>
                          <a:noFill/>
                          <a:ln>
                            <a:noFill/>
                          </a:ln>
                        </pic:spPr>
                      </pic:pic>
                    </a:graphicData>
                  </a:graphic>
                </wp:inline>
              </w:drawing>
            </w:r>
          </w:p>
        </w:tc>
        <w:tc>
          <w:tcPr>
            <w:tcW w:w="6111" w:type="dxa"/>
          </w:tcPr>
          <w:p>
            <w:r>
              <w:rPr>
                <w:b/>
              </w:rPr>
              <w:t>Nutzer</w:t>
            </w:r>
            <w:r>
              <w:t xml:space="preserve"> der Systeme werden als Rechtecke eingezeichnet. Dies können z.B. externe Organisationen, externe Behörden oder interne Fachbereiche sein.</w:t>
            </w:r>
          </w:p>
          <w:p>
            <w:r>
              <w:t>Nutzer werden in Datenflussdiagrammen meist als „Schnittstellen“ bezeichnet. Da nicht die Schnittstellen der Anwendungssysteme aus der Systemspezifikation abgebildet werden, wird dieser Name hier nicht verwendet.</w:t>
            </w:r>
          </w:p>
        </w:tc>
      </w:tr>
      <w:tr>
        <w:tc>
          <w:tcPr>
            <w:tcW w:w="3517" w:type="dxa"/>
          </w:tcPr>
          <w:p>
            <w:pPr>
              <w:jc w:val="center"/>
            </w:pPr>
            <w:r>
              <w:rPr>
                <w:noProof/>
              </w:rPr>
              <w:drawing>
                <wp:inline distT="0" distB="0" distL="0" distR="0">
                  <wp:extent cx="1573530" cy="1095375"/>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73530" cy="1095375"/>
                          </a:xfrm>
                          <a:prstGeom prst="rect">
                            <a:avLst/>
                          </a:prstGeom>
                          <a:noFill/>
                          <a:ln>
                            <a:noFill/>
                          </a:ln>
                        </pic:spPr>
                      </pic:pic>
                    </a:graphicData>
                  </a:graphic>
                </wp:inline>
              </w:drawing>
            </w:r>
          </w:p>
        </w:tc>
        <w:tc>
          <w:tcPr>
            <w:tcW w:w="6111" w:type="dxa"/>
          </w:tcPr>
          <w:p>
            <w:r>
              <w:rPr>
                <w:b/>
              </w:rPr>
              <w:t>Prozesse</w:t>
            </w:r>
            <w:r>
              <w:t xml:space="preserve"> werden als Ovale eingezeichnet. Diese entsprechen den Anwendungsfällen der Anwendungssysteme. Ein Prozess kann dabei mehrere Anwendungsfälle zusammenfassen, z.B. verschiedene Meldungsarten. Dies dient der Übersichtlichkeit der Darstellung. Der Name des Prozesses beginnt mit dem Anwendungssystem, dass ihn umsetzt. Dann folgen ein Doppelpunkt und meist ein Substantiv und ein Verb.</w:t>
            </w:r>
          </w:p>
        </w:tc>
      </w:tr>
      <w:tr>
        <w:tc>
          <w:tcPr>
            <w:tcW w:w="3517" w:type="dxa"/>
          </w:tcPr>
          <w:p>
            <w:pPr>
              <w:jc w:val="center"/>
            </w:pPr>
            <w:r>
              <w:rPr>
                <w:noProof/>
              </w:rPr>
              <w:drawing>
                <wp:inline distT="0" distB="0" distL="0" distR="0">
                  <wp:extent cx="1148080" cy="1052830"/>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8080" cy="1052830"/>
                          </a:xfrm>
                          <a:prstGeom prst="rect">
                            <a:avLst/>
                          </a:prstGeom>
                          <a:noFill/>
                          <a:ln>
                            <a:noFill/>
                          </a:ln>
                        </pic:spPr>
                      </pic:pic>
                    </a:graphicData>
                  </a:graphic>
                </wp:inline>
              </w:drawing>
            </w:r>
          </w:p>
        </w:tc>
        <w:tc>
          <w:tcPr>
            <w:tcW w:w="6111" w:type="dxa"/>
          </w:tcPr>
          <w:p>
            <w:r>
              <w:rPr>
                <w:b/>
              </w:rPr>
              <w:t>Datenspeicher</w:t>
            </w:r>
            <w:r>
              <w:t xml:space="preserve"> werden mit einem Strich über und unter dem Datenspeicher dargestellt. Die Aufteilung der Datenspeicher entspricht der Aufteilung der Datenmodelle der Anwendungssysteme in Modellkomponenten. Zum Zweck der Übersichtlichkeit können Modellkomponenten zusammengefasst werden.</w:t>
            </w:r>
          </w:p>
        </w:tc>
      </w:tr>
      <w:tr>
        <w:trPr>
          <w:cantSplit/>
        </w:trPr>
        <w:tc>
          <w:tcPr>
            <w:tcW w:w="3517" w:type="dxa"/>
          </w:tcPr>
          <w:p>
            <w:pPr>
              <w:jc w:val="center"/>
            </w:pPr>
            <w:r>
              <w:rPr>
                <w:noProof/>
              </w:rPr>
              <w:drawing>
                <wp:inline distT="0" distB="0" distL="0" distR="0">
                  <wp:extent cx="1020445" cy="638175"/>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20445" cy="638175"/>
                          </a:xfrm>
                          <a:prstGeom prst="rect">
                            <a:avLst/>
                          </a:prstGeom>
                          <a:noFill/>
                          <a:ln>
                            <a:noFill/>
                          </a:ln>
                        </pic:spPr>
                      </pic:pic>
                    </a:graphicData>
                  </a:graphic>
                </wp:inline>
              </w:drawing>
            </w:r>
          </w:p>
        </w:tc>
        <w:tc>
          <w:tcPr>
            <w:tcW w:w="6111" w:type="dxa"/>
          </w:tcPr>
          <w:p>
            <w:pPr>
              <w:keepLines/>
            </w:pPr>
            <w:r>
              <w:t xml:space="preserve">Datenflüsse über Grenzen von Diagrammen hinweg werden mit einem </w:t>
            </w:r>
            <w:r>
              <w:rPr>
                <w:b/>
              </w:rPr>
              <w:t>Tor</w:t>
            </w:r>
            <w:r>
              <w:t xml:space="preserve"> (englisch „Gate“) dargestellt. Das Tor wird in beiden Diagrammen eingezeichnet und jeweils mit dem Namen des anderen Datenfluss</w:t>
            </w:r>
            <w:r>
              <w:softHyphen/>
              <w:t>diagramms benannt.</w:t>
            </w:r>
          </w:p>
        </w:tc>
      </w:tr>
      <w:tr>
        <w:tc>
          <w:tcPr>
            <w:tcW w:w="3517" w:type="dxa"/>
          </w:tcPr>
          <w:p>
            <w:pPr>
              <w:ind w:left="708" w:hanging="708"/>
              <w:jc w:val="center"/>
            </w:pPr>
            <w:r>
              <w:rPr>
                <w:noProof/>
              </w:rPr>
              <w:drawing>
                <wp:inline distT="0" distB="0" distL="0" distR="0">
                  <wp:extent cx="2700655" cy="2519680"/>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00655" cy="2519680"/>
                          </a:xfrm>
                          <a:prstGeom prst="rect">
                            <a:avLst/>
                          </a:prstGeom>
                          <a:noFill/>
                          <a:ln>
                            <a:noFill/>
                          </a:ln>
                        </pic:spPr>
                      </pic:pic>
                    </a:graphicData>
                  </a:graphic>
                </wp:inline>
              </w:drawing>
            </w:r>
          </w:p>
        </w:tc>
        <w:tc>
          <w:tcPr>
            <w:tcW w:w="6111" w:type="dxa"/>
          </w:tcPr>
          <w:p>
            <w:r>
              <w:rPr>
                <w:b/>
              </w:rPr>
              <w:t>Datenflüsse</w:t>
            </w:r>
            <w:r>
              <w:t xml:space="preserve"> werden als Pfeile eingezeichnet. Datenflüsse beginnen und enden an einem Nutzer, Prozess, Datenspeicher oder Tor. Mindestens ein Ende jedes Datenflusses hängt an einem Prozess.</w:t>
            </w:r>
          </w:p>
          <w:p>
            <w:r>
              <w:t>Die Beschriftung am Datenfluss zeigt, welche Daten jeweils übergeben werden.</w:t>
            </w:r>
          </w:p>
          <w:p>
            <w:r>
              <w:t>Jedes Datum, das in einem Diagramm dargestellt wird, muss in einer Legende unter dem Diagramm erklärt werden. Dies dient zur Einschätzung, welche Inhalte, Datenschutz- und Sicherheitsrelevanz der Datenfluss hat. In der Erklärung wird das Datum unterstrichen.</w:t>
            </w:r>
          </w:p>
        </w:tc>
      </w:tr>
      <w:tr>
        <w:tc>
          <w:tcPr>
            <w:tcW w:w="3517" w:type="dxa"/>
          </w:tcPr>
          <w:p>
            <w:pPr>
              <w:jc w:val="center"/>
            </w:pPr>
            <w:r>
              <w:rPr>
                <w:noProof/>
              </w:rPr>
              <w:drawing>
                <wp:inline distT="0" distB="0" distL="0" distR="0">
                  <wp:extent cx="2743200" cy="2519680"/>
                  <wp:effectExtent l="0" t="0" r="0" b="0"/>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43200" cy="2519680"/>
                          </a:xfrm>
                          <a:prstGeom prst="rect">
                            <a:avLst/>
                          </a:prstGeom>
                          <a:noFill/>
                          <a:ln>
                            <a:noFill/>
                          </a:ln>
                        </pic:spPr>
                      </pic:pic>
                    </a:graphicData>
                  </a:graphic>
                </wp:inline>
              </w:drawing>
            </w:r>
          </w:p>
        </w:tc>
        <w:tc>
          <w:tcPr>
            <w:tcW w:w="6111" w:type="dxa"/>
          </w:tcPr>
          <w:p>
            <w:r>
              <w:t xml:space="preserve">Die Grenzen der </w:t>
            </w:r>
            <w:r>
              <w:rPr>
                <w:b/>
              </w:rPr>
              <w:t>Sicherheitszonen</w:t>
            </w:r>
            <w:r>
              <w:t xml:space="preserve"> werden gestrichelt eingezeichnet. Jede Zone wird dabei benannt und hat ihre eigene Farbe.</w:t>
            </w:r>
          </w:p>
          <w:p>
            <w:r>
              <w:t>Die Datenspeicher befinden sich typischerweise in einer eigenen Sicherheitszone. Diese wird der Übersichtlichkeit halber nicht eingezeichnet.</w:t>
            </w:r>
          </w:p>
          <w:p>
            <w:r>
              <w:t>Die Nutzer befinden sich typischerweise außerhalb der Sicherheitszonen.</w:t>
            </w:r>
          </w:p>
        </w:tc>
      </w:tr>
    </w:tbl>
    <w:p>
      <w:r>
        <w:t>Nachfolgend wird ein Beispiel für ein Datenflussdiagramm-Dokument dargestellt.</w:t>
      </w:r>
    </w:p>
    <w:p>
      <w:pPr>
        <w:pStyle w:val="berschrift1"/>
      </w:pPr>
      <w:bookmarkStart w:id="8" w:name="_Toc397355715"/>
      <w:r>
        <w:t>Beispiel</w:t>
      </w:r>
      <w:bookmarkEnd w:id="8"/>
    </w:p>
    <w:p>
      <w:r>
        <w:t>Im Beispiel wird ein einfaches Anwendungssystem zur Verwaltung von Adressen dargestellt. Das Beispiel ist sehr einfach gehalten und dient nur der Veranschaulichung des Formalismus. Es erhebt keinen Anspruch, in der Praxis umsetzbar zu sein.</w:t>
      </w:r>
    </w:p>
    <w:p>
      <w:r>
        <w:t>Benutzer können ihre eigenen Adressdaten selbst über ein Portal eingeben. Darüber hinaus besteht die Möglichkeit einen Massenimport von Adressdaten durchzuführen, der z.B. durch Upload einer Adressliste erfolgt. Dieser Massenimport kann auch von einer anderen Anwendung (Fachanwendung 2) aus angestoßen werden. Sowohl bei der Eingabe als auch beim Import von Adressen werden die Adressdaten zunächst geprüft, bevor sie in die Datenbank geschrieben werden. Außerdem wird für jeden Import ein Eintrag in eine Protokolldatei geschrieben und der Benutzer, dessen Adresse importiert wurde, wird per Mail benachrichtigt.</w:t>
      </w:r>
    </w:p>
    <w:p>
      <w:r>
        <w:rPr>
          <w:noProof/>
        </w:rPr>
        <w:drawing>
          <wp:inline distT="0" distB="0" distL="0" distR="0">
            <wp:extent cx="5975350" cy="4912360"/>
            <wp:effectExtent l="0" t="0" r="0" b="0"/>
            <wp:docPr id="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75350" cy="4912360"/>
                    </a:xfrm>
                    <a:prstGeom prst="rect">
                      <a:avLst/>
                    </a:prstGeom>
                    <a:noFill/>
                    <a:ln>
                      <a:noFill/>
                    </a:ln>
                  </pic:spPr>
                </pic:pic>
              </a:graphicData>
            </a:graphic>
          </wp:inline>
        </w:drawing>
      </w:r>
    </w:p>
    <w:p>
      <w:pPr>
        <w:pStyle w:val="berschrift1"/>
      </w:pPr>
      <w:bookmarkStart w:id="9" w:name="_Toc397355716"/>
      <w:r>
        <w:t>Datenflüsse in der Anwendungsdomäne XYZ</w:t>
      </w:r>
      <w:bookmarkEnd w:id="9"/>
    </w:p>
    <w:p>
      <w:r>
        <w:t>Nachfolgend werden die Datenflüsse in der Anwendungsdomäne XYZ dargestellt. Diese umfasst die folgenden fachlichen Datenbestände:</w:t>
      </w:r>
    </w:p>
    <w:p>
      <w:pPr>
        <w:numPr>
          <w:ilvl w:val="0"/>
          <w:numId w:val="16"/>
        </w:numPr>
      </w:pPr>
      <w:r>
        <w:t>Adressdatenbank:</w:t>
      </w:r>
    </w:p>
    <w:p>
      <w:pPr>
        <w:numPr>
          <w:ilvl w:val="1"/>
          <w:numId w:val="16"/>
        </w:numPr>
      </w:pPr>
      <w:r>
        <w:t>Datenbestand 1</w:t>
      </w:r>
    </w:p>
    <w:p>
      <w:pPr>
        <w:numPr>
          <w:ilvl w:val="1"/>
          <w:numId w:val="16"/>
        </w:numPr>
      </w:pPr>
      <w:r>
        <w:t>Datenbestand 2</w:t>
      </w:r>
    </w:p>
    <w:p>
      <w:pPr>
        <w:numPr>
          <w:ilvl w:val="0"/>
          <w:numId w:val="16"/>
        </w:numPr>
      </w:pPr>
      <w:r>
        <w:rPr>
          <w:i/>
        </w:rPr>
        <w:t>&lt;weitere Datenbank&gt;</w:t>
      </w:r>
      <w:r>
        <w:t>:</w:t>
      </w:r>
    </w:p>
    <w:p>
      <w:pPr>
        <w:numPr>
          <w:ilvl w:val="1"/>
          <w:numId w:val="16"/>
        </w:numPr>
      </w:pPr>
      <w:r>
        <w:t>Datenbestand 3</w:t>
      </w:r>
    </w:p>
    <w:p>
      <w:pPr>
        <w:numPr>
          <w:ilvl w:val="1"/>
          <w:numId w:val="16"/>
        </w:numPr>
      </w:pPr>
      <w:r>
        <w:t>Datenbestand 4</w:t>
      </w:r>
    </w:p>
    <w:p>
      <w:pPr>
        <w:numPr>
          <w:ilvl w:val="1"/>
          <w:numId w:val="16"/>
        </w:numPr>
      </w:pPr>
      <w:r>
        <w:t>Datenbestand 5</w:t>
      </w:r>
    </w:p>
    <w:p>
      <w:pPr>
        <w:numPr>
          <w:ilvl w:val="0"/>
          <w:numId w:val="16"/>
        </w:numPr>
      </w:pPr>
      <w:r>
        <w:t>Analyse: Zentrale Auswertung der Analysedaten der Domäne</w:t>
      </w:r>
    </w:p>
    <w:p/>
    <w:p>
      <w:pPr>
        <w:pStyle w:val="berschrift2"/>
      </w:pPr>
      <w:bookmarkStart w:id="10" w:name="_Toc397355717"/>
      <w:r>
        <w:t>Schreiben in Datenbestand 1</w:t>
      </w:r>
      <w:bookmarkEnd w:id="10"/>
    </w:p>
    <w:p>
      <w:r>
        <w:t xml:space="preserve">Benutzer können ihre eigene Adressdaten selbst über ein Portal eingeben. Darüber hinaus besteht die Möglichkeit einen Massenimport von Adressdaten zu durchzuführen, der z.B. durch Upload einer Adressliste er-folgt. … </w:t>
      </w:r>
    </w:p>
    <w:p>
      <w:pPr>
        <w:keepNext/>
        <w:jc w:val="center"/>
      </w:pPr>
      <w:r>
        <w:rPr>
          <w:noProof/>
        </w:rPr>
        <w:drawing>
          <wp:inline distT="0" distB="0" distL="0" distR="0">
            <wp:extent cx="5975350" cy="4912360"/>
            <wp:effectExtent l="0" t="0" r="0" b="0"/>
            <wp:docPr id="8"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75350" cy="4912360"/>
                    </a:xfrm>
                    <a:prstGeom prst="rect">
                      <a:avLst/>
                    </a:prstGeom>
                    <a:noFill/>
                    <a:ln>
                      <a:noFill/>
                    </a:ln>
                  </pic:spPr>
                </pic:pic>
              </a:graphicData>
            </a:graphic>
          </wp:inline>
        </w:drawing>
      </w:r>
    </w:p>
    <w:p>
      <w:pPr>
        <w:pStyle w:val="Beschriftung"/>
      </w:pPr>
      <w:r>
        <w:t xml:space="preserve">Abbildung </w:t>
      </w:r>
      <w:fldSimple w:instr=" SEQ Abbildung \* ARABIC ">
        <w:r>
          <w:rPr>
            <w:noProof/>
          </w:rPr>
          <w:t>1</w:t>
        </w:r>
      </w:fldSimple>
      <w:r>
        <w:t>: Schreiben in Datenbestand 1</w:t>
      </w:r>
    </w:p>
    <w:p>
      <w:r>
        <w:br w:type="page"/>
        <w:t xml:space="preserve">Legende: </w:t>
      </w:r>
    </w:p>
    <w:p>
      <w:pPr>
        <w:numPr>
          <w:ilvl w:val="0"/>
          <w:numId w:val="10"/>
        </w:numPr>
      </w:pPr>
      <w:r>
        <w:rPr>
          <w:u w:val="single"/>
        </w:rPr>
        <w:t>Adressdaten</w:t>
      </w:r>
      <w:r>
        <w:t xml:space="preserve"> bestehen aus den Bestandteilen Name, Vorname, Straße, Hausnummer, Postleitzahl und Ort.</w:t>
      </w:r>
    </w:p>
    <w:p>
      <w:pPr>
        <w:numPr>
          <w:ilvl w:val="0"/>
          <w:numId w:val="10"/>
        </w:numPr>
        <w:rPr>
          <w:u w:val="single"/>
        </w:rPr>
      </w:pPr>
      <w:r>
        <w:t xml:space="preserve">Die </w:t>
      </w:r>
      <w:r>
        <w:rPr>
          <w:u w:val="single"/>
        </w:rPr>
        <w:t>Mitteilung</w:t>
      </w:r>
      <w:r>
        <w:t xml:space="preserve"> enthält einen Bestätigungstext mit den erfassten Daten. Dieser Text wird an den Benutzer geschickt.</w:t>
      </w:r>
    </w:p>
    <w:p>
      <w:pPr>
        <w:numPr>
          <w:ilvl w:val="0"/>
          <w:numId w:val="10"/>
        </w:numPr>
        <w:rPr>
          <w:u w:val="single"/>
        </w:rPr>
      </w:pPr>
      <w:r>
        <w:t>…</w:t>
      </w:r>
    </w:p>
    <w:p>
      <w:pPr>
        <w:ind w:left="720"/>
        <w:rPr>
          <w:u w:val="single"/>
        </w:rPr>
      </w:pPr>
    </w:p>
    <w:p>
      <w:pPr>
        <w:pStyle w:val="berschrift2"/>
      </w:pPr>
      <w:bookmarkStart w:id="11" w:name="_Toc397355718"/>
      <w:r>
        <w:t>&lt;weiteres Fachliches Thema&gt;</w:t>
      </w:r>
      <w:bookmarkEnd w:id="11"/>
    </w:p>
    <w:p>
      <w:pPr>
        <w:rPr>
          <w:i/>
        </w:rPr>
      </w:pPr>
      <w:r>
        <w:rPr>
          <w:i/>
        </w:rPr>
        <w:t>Hier wird ein Datenflussdiagramm für ein weiteres fachliches Thema abgebildet, inklusive Erklärung des fachlichen Themas und Legende.</w:t>
      </w:r>
    </w:p>
    <w:p>
      <w:pPr>
        <w:pStyle w:val="berschrift2"/>
      </w:pPr>
      <w:bookmarkStart w:id="12" w:name="_Toc397355719"/>
      <w:r>
        <w:t>&lt;weiteres Fachliches Thema&gt;</w:t>
      </w:r>
      <w:bookmarkEnd w:id="12"/>
    </w:p>
    <w:p>
      <w:pPr>
        <w:rPr>
          <w:i/>
        </w:rPr>
      </w:pPr>
      <w:r>
        <w:rPr>
          <w:i/>
        </w:rPr>
        <w:t>Hier wird ein Datenflussdiagramm für ein weiteres fachliches Thema abgebildet, inklusive Erklärung des fachlichen Themas und Legende.</w:t>
      </w:r>
    </w:p>
    <w:p/>
    <w:p>
      <w:pPr>
        <w:pStyle w:val="berschrift1"/>
      </w:pPr>
      <w:bookmarkStart w:id="13" w:name="_Toc397355720"/>
      <w:r>
        <w:t>Datenflüsse in der Anwendungsdomäne ABC</w:t>
      </w:r>
      <w:bookmarkEnd w:id="13"/>
    </w:p>
    <w:p>
      <w:pPr>
        <w:rPr>
          <w:i/>
        </w:rPr>
      </w:pPr>
      <w:r>
        <w:rPr>
          <w:i/>
        </w:rPr>
        <w:t>Hier werden die Datenflüsse einer weiteren Anwendungsdomäne analog zum vorherigen Kapitel dargestellt.</w:t>
      </w:r>
    </w:p>
    <w:sectPr>
      <w:headerReference w:type="even" r:id="rId28"/>
      <w:footerReference w:type="default" r:id="rId29"/>
      <w:type w:val="oddPage"/>
      <w:pgSz w:w="11907" w:h="16840" w:code="9"/>
      <w:pgMar w:top="2778" w:right="1304" w:bottom="907" w:left="1191" w:header="1446" w:footer="454"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uzeile"/>
    </w:pPr>
    <w:r>
      <w:fldChar w:fldCharType="begin"/>
    </w:r>
    <w:r>
      <w:instrText>SAVEDATE \@ "d. MMMM yyyy"</w:instrText>
    </w:r>
    <w:r>
      <w:fldChar w:fldCharType="separate"/>
    </w:r>
    <w:r>
      <w:rPr>
        <w:noProof/>
      </w:rPr>
      <w:t>13. Mai 2015</w:t>
    </w:r>
    <w:r>
      <w:fldChar w:fldCharType="end"/>
    </w:r>
    <w:r>
      <w:tab/>
      <w:t xml:space="preserve">Seite </w:t>
    </w:r>
    <w:r>
      <w:fldChar w:fldCharType="begin"/>
    </w:r>
    <w:r>
      <w:instrText xml:space="preserve">PAGE </w:instrText>
    </w:r>
    <w:r>
      <w:fldChar w:fldCharType="separate"/>
    </w:r>
    <w:r>
      <w:rPr>
        <w:noProof/>
      </w:rPr>
      <w:t>viii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uzeile"/>
    </w:pPr>
    <w:fldSimple w:instr=" TITLE  \* MERGEFORMAT ">
      <w:r>
        <w:t>Datenflussdiagramme</w:t>
      </w:r>
    </w:fldSimple>
    <w:r>
      <w:t xml:space="preserve"> : </w:t>
    </w:r>
    <w:fldSimple w:instr=" SUBJECT  \* MERGEFORMAT ">
      <w:r>
        <w:t>AZR/Visa</w:t>
      </w:r>
    </w:fldSimple>
    <w:r>
      <w:t xml:space="preserve"> </w:t>
    </w:r>
    <w:r>
      <w:fldChar w:fldCharType="begin"/>
    </w:r>
    <w:r>
      <w:instrText xml:space="preserve"> COMMENTS  \* MERGEFORMAT </w:instrText>
    </w:r>
    <w:r>
      <w:fldChar w:fldCharType="separate"/>
    </w:r>
    <w:r>
      <w:t>Version der Vorlage "Aufsatz": 5.0</w:t>
    </w:r>
  </w:p>
  <w:p>
    <w:pPr>
      <w:pStyle w:val="Fuzeile"/>
    </w:pPr>
    <w:r>
      <w:t>Status des Dokuments: in Arbeit</w:t>
    </w:r>
    <w:r>
      <w:fldChar w:fldCharType="end"/>
    </w:r>
    <w:r>
      <w:br/>
      <w:t xml:space="preserve">Datei: </w:t>
    </w:r>
    <w:r>
      <w:fldChar w:fldCharType="begin"/>
    </w:r>
    <w:r>
      <w:instrText xml:space="preserve">FILENAME </w:instrText>
    </w:r>
    <w:r>
      <w:fldChar w:fldCharType="separate"/>
    </w:r>
    <w:r>
      <w:rPr>
        <w:noProof/>
      </w:rPr>
      <w:t>Anleitung_zu_Datenflussdiagrammen.doc</w:t>
    </w:r>
    <w:r>
      <w:fldChar w:fldCharType="end"/>
    </w:r>
    <w:r>
      <w:t xml:space="preserve"> - Version </w:t>
    </w:r>
    <w:r>
      <w:fldChar w:fldCharType="begin"/>
    </w:r>
    <w:r>
      <w:instrText xml:space="preserve">REVNUM </w:instrText>
    </w:r>
    <w:r>
      <w:fldChar w:fldCharType="separate"/>
    </w:r>
    <w:r>
      <w:rPr>
        <w:noProof/>
      </w:rPr>
      <w:t>25</w:t>
    </w:r>
    <w:r>
      <w:fldChar w:fldCharType="end"/>
    </w:r>
    <w:r>
      <w:t xml:space="preserve"> vom </w:t>
    </w:r>
    <w:r>
      <w:fldChar w:fldCharType="begin"/>
    </w:r>
    <w:r>
      <w:instrText>SAVEDATE \@ "d. MMMM yyyy"</w:instrText>
    </w:r>
    <w:r>
      <w:fldChar w:fldCharType="separate"/>
    </w:r>
    <w:r>
      <w:rPr>
        <w:noProof/>
      </w:rPr>
      <w:t>13. Mai 2015</w:t>
    </w:r>
    <w:r>
      <w:fldChar w:fldCharType="end"/>
    </w:r>
    <w:r>
      <w:t xml:space="preserve"> - Gedruckt: </w:t>
    </w:r>
    <w:r>
      <w:fldChar w:fldCharType="begin"/>
    </w:r>
    <w:r>
      <w:instrText>PRINTDATE \@ "dd.MM.yy HH:mm"</w:instrText>
    </w:r>
    <w:r>
      <w:fldChar w:fldCharType="separate"/>
    </w:r>
    <w:r>
      <w:rPr>
        <w:noProof/>
      </w:rPr>
      <w:t>28.09.13 22:23</w:t>
    </w:r>
    <w:r>
      <w:fldChar w:fldCharType="end"/>
    </w:r>
    <w:r>
      <w:br/>
      <w:t xml:space="preserve">Autor: </w:t>
    </w:r>
    <w:r>
      <w:fldChar w:fldCharType="begin"/>
    </w:r>
    <w:r>
      <w:instrText xml:space="preserve">AUTHOR </w:instrText>
    </w:r>
    <w:r>
      <w:fldChar w:fldCharType="separate"/>
    </w:r>
    <w:r>
      <w:rPr>
        <w:noProof/>
      </w:rPr>
      <w:t>Guido Schuh</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StandardKopfFu"/>
      <w:framePr w:hSpace="142" w:wrap="around" w:vAnchor="text" w:hAnchor="text" w:y="29"/>
    </w:pPr>
    <w:r>
      <w:t xml:space="preserve">Version: </w:t>
    </w:r>
    <w:fldSimple w:instr=" REF Version  \* MERGEFORMAT ">
      <w:r>
        <w:t>1.1</w:t>
      </w:r>
    </w:fldSimple>
  </w:p>
  <w:p>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i</w:t>
    </w:r>
    <w:r>
      <w:fldChar w:fldCharType="end"/>
    </w:r>
  </w:p>
  <w:p>
    <w:pPr>
      <w:pStyle w:val="Fuzeile"/>
      <w:tabs>
        <w:tab w:val="left" w:pos="709"/>
        <w:tab w:val="left" w:pos="2835"/>
      </w:tabs>
    </w:pPr>
    <w:r>
      <w:t xml:space="preserve">Datei: </w:t>
    </w:r>
    <w:fldSimple w:instr=" FILENAME  \* MERGEFORMAT ">
      <w:r>
        <w:rPr>
          <w:noProof/>
        </w:rPr>
        <w:t>Anleitung_zu_Datenflussdiagrammen.docx</w:t>
      </w:r>
    </w:fldSimple>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uzeile"/>
      <w:tabs>
        <w:tab w:val="left" w:pos="709"/>
        <w:tab w:val="left" w:pos="2835"/>
        <w:tab w:val="left" w:pos="3544"/>
      </w:tabs>
    </w:pPr>
    <w:r>
      <w:t>Stand:</w:t>
    </w:r>
    <w:r>
      <w:tab/>
    </w:r>
    <w:r>
      <w:fldChar w:fldCharType="begin"/>
    </w:r>
    <w:r>
      <w:instrText>SAVEDATE \@ "d. MMMM yyyy"</w:instrText>
    </w:r>
    <w:r>
      <w:fldChar w:fldCharType="separate"/>
    </w:r>
    <w:r>
      <w:rPr>
        <w:noProof/>
      </w:rPr>
      <w:t>13. Mai 2015</w:t>
    </w:r>
    <w:r>
      <w:fldChar w:fldCharType="end"/>
    </w:r>
    <w:r>
      <w:tab/>
      <w:t>Status:</w:t>
    </w:r>
    <w:r>
      <w:tab/>
    </w:r>
    <w:r>
      <w:fldChar w:fldCharType="begin"/>
    </w:r>
    <w:r>
      <w:instrText xml:space="preserve"> COMMENTS  \* MERGEFORMAT </w:instrText>
    </w:r>
    <w:r>
      <w:fldChar w:fldCharType="separate"/>
    </w:r>
    <w:r>
      <w:t>Version der Vorlage "Aufsatz": 5.0</w:t>
    </w:r>
  </w:p>
  <w:p>
    <w:pPr>
      <w:pStyle w:val="Fuzeile"/>
      <w:tabs>
        <w:tab w:val="left" w:pos="709"/>
        <w:tab w:val="left" w:pos="2835"/>
        <w:tab w:val="left" w:pos="3544"/>
      </w:tabs>
    </w:pPr>
    <w:r>
      <w:t>Status des Dokuments: in Arbeit</w:t>
    </w:r>
    <w:r>
      <w:fldChar w:fldCharType="end"/>
    </w:r>
    <w:r>
      <w:br/>
      <w:t>Druck:</w:t>
    </w:r>
    <w:r>
      <w:tab/>
    </w:r>
    <w:r>
      <w:fldChar w:fldCharType="begin"/>
    </w:r>
    <w:r>
      <w:instrText>PRINTDATE \@ "dd.MM.yy HH:mm"</w:instrText>
    </w:r>
    <w:r>
      <w:fldChar w:fldCharType="separate"/>
    </w:r>
    <w:r>
      <w:rPr>
        <w:noProof/>
      </w:rPr>
      <w:t>28.09.13 22:23</w:t>
    </w:r>
    <w:r>
      <w:fldChar w:fldCharType="end"/>
    </w:r>
    <w:r>
      <w:tab/>
      <w:t>Seiten:</w:t>
    </w:r>
    <w:r>
      <w:tab/>
    </w:r>
    <w:fldSimple w:instr=" NUMPAGES  \* MERGEFORMAT ">
      <w:r>
        <w:rPr>
          <w:noProof/>
        </w:rPr>
        <w:t>11</w:t>
      </w:r>
    </w:fldSimple>
    <w:r>
      <w:br/>
      <w:t>Datei:</w:t>
    </w:r>
    <w:r>
      <w:tab/>
    </w:r>
    <w:r>
      <w:fldChar w:fldCharType="begin"/>
    </w:r>
    <w:r>
      <w:instrText xml:space="preserve">FILENAME </w:instrText>
    </w:r>
    <w:r>
      <w:fldChar w:fldCharType="separate"/>
    </w:r>
    <w:r>
      <w:rPr>
        <w:noProof/>
      </w:rPr>
      <w:t>Anleitung_zu_Datenflussdiagrammen.doc</w:t>
    </w:r>
    <w:r>
      <w:fldChar w:fldCharType="end"/>
    </w:r>
    <w:r>
      <w:tab/>
      <w:t>Autor:</w:t>
    </w:r>
    <w:r>
      <w:tab/>
    </w:r>
    <w:r>
      <w:fldChar w:fldCharType="begin"/>
    </w:r>
    <w:r>
      <w:instrText xml:space="preserve">AUTHOR </w:instrText>
    </w:r>
    <w:r>
      <w:fldChar w:fldCharType="separate"/>
    </w:r>
    <w:r>
      <w:rPr>
        <w:noProof/>
      </w:rPr>
      <w:t>Guido Schuh</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uzeile"/>
    </w:pPr>
    <w:fldSimple w:instr=" REF Datum ">
      <w:r>
        <w:t>14.08.2012</w:t>
      </w:r>
    </w:fldSimple>
    <w:r>
      <w:tab/>
      <w:t xml:space="preserve">Seite </w:t>
    </w:r>
    <w:r>
      <w:fldChar w:fldCharType="begin"/>
    </w:r>
    <w:r>
      <w:instrText xml:space="preserve"> PAGE </w:instrText>
    </w:r>
    <w:r>
      <w:fldChar w:fldCharType="separate"/>
    </w:r>
    <w:r>
      <w:rPr>
        <w:noProof/>
      </w:rPr>
      <w:t>viii</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ufsatzFuzeile"/>
      <w:framePr w:wrap="around"/>
    </w:pPr>
    <w:r>
      <w:t xml:space="preserve">Version: </w:t>
    </w:r>
    <w:fldSimple w:instr=" REF Version  \* MERGEFORMAT ">
      <w:r>
        <w:t>1.1</w:t>
      </w:r>
    </w:fldSimple>
  </w:p>
  <w:p>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9</w:t>
    </w:r>
    <w:r>
      <w:fldChar w:fldCharType="end"/>
    </w:r>
  </w:p>
  <w:p>
    <w:pPr>
      <w:pStyle w:val="Fuzeile"/>
      <w:tabs>
        <w:tab w:val="clear" w:pos="8789"/>
      </w:tabs>
    </w:pPr>
    <w:r>
      <w:t xml:space="preserve">Datei: </w:t>
    </w:r>
    <w:fldSimple w:instr=" FILENAME  \* MERGEFORMAT ">
      <w:r>
        <w:rPr>
          <w:noProof/>
        </w:rPr>
        <w:t>Anleitung_zu_Datenflussdiagrammen.docx</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ldSimple w:instr=" TITLE  \* MERGEFORMAT ">
      <w:r>
        <w:t>Datenflussdiagramme</w:t>
      </w:r>
    </w:fldSimple>
    <w:r>
      <w:br/>
    </w:r>
    <w:fldSimple w:instr=" SUBJECT  \* MERGEFORMAT ">
      <w:r>
        <w:t>AZR/Visa</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28" w:type="dxa"/>
      <w:jc w:val="center"/>
      <w:tblLayout w:type="fixed"/>
      <w:tblLook w:val="01E0" w:firstRow="1" w:lastRow="1" w:firstColumn="1" w:lastColumn="1" w:noHBand="0" w:noVBand="0"/>
    </w:tblPr>
    <w:tblGrid>
      <w:gridCol w:w="2997"/>
      <w:gridCol w:w="3634"/>
      <w:gridCol w:w="2997"/>
    </w:tblGrid>
    <w:tr>
      <w:trPr>
        <w:trHeight w:hRule="exact" w:val="1134"/>
        <w:jc w:val="center"/>
      </w:trPr>
      <w:tc>
        <w:tcPr>
          <w:tcW w:w="2997" w:type="dxa"/>
          <w:vAlign w:val="center"/>
        </w:tcPr>
        <w:p>
          <w:pPr>
            <w:tabs>
              <w:tab w:val="left" w:pos="1531"/>
            </w:tabs>
            <w:spacing w:before="0" w:line="240" w:lineRule="auto"/>
            <w:jc w:val="center"/>
            <w:rPr>
              <w:rFonts w:ascii="Arial" w:hAnsi="Arial"/>
              <w:b/>
              <w:noProof/>
              <w:color w:val="BFBFBF"/>
              <w:sz w:val="26"/>
              <w:szCs w:val="22"/>
            </w:rPr>
          </w:pPr>
          <w:r>
            <w:rPr>
              <w:rFonts w:ascii="Arial" w:hAnsi="Arial"/>
              <w:b/>
              <w:noProof/>
              <w:color w:val="BFBFBF"/>
              <w:sz w:val="26"/>
              <w:szCs w:val="22"/>
            </w:rPr>
            <w:t xml:space="preserve">Logo der </w:t>
          </w:r>
          <w:r>
            <w:rPr>
              <w:rFonts w:ascii="Arial" w:hAnsi="Arial"/>
              <w:b/>
              <w:noProof/>
              <w:color w:val="BFBFBF"/>
              <w:sz w:val="26"/>
              <w:szCs w:val="22"/>
            </w:rPr>
            <w:br/>
            <w:t>Organisation/Behörde</w:t>
          </w:r>
        </w:p>
      </w:tc>
      <w:tc>
        <w:tcPr>
          <w:tcW w:w="3634" w:type="dxa"/>
        </w:tcPr>
        <w:p>
          <w:pPr>
            <w:spacing w:before="120"/>
            <w:jc w:val="center"/>
            <w:rPr>
              <w:szCs w:val="22"/>
            </w:rPr>
          </w:pPr>
          <w:r>
            <w:rPr>
              <w:szCs w:val="22"/>
            </w:rPr>
            <w:fldChar w:fldCharType="begin"/>
          </w:r>
          <w:r>
            <w:rPr>
              <w:szCs w:val="22"/>
            </w:rPr>
            <w:instrText xml:space="preserve">REF Titel /*formatverbinden  \* MERGEFORMAT </w:instrText>
          </w:r>
          <w:r>
            <w:rPr>
              <w:szCs w:val="22"/>
            </w:rPr>
            <w:fldChar w:fldCharType="separate"/>
          </w:r>
          <w:r>
            <w:rPr>
              <w:szCs w:val="22"/>
            </w:rPr>
            <w:t>Anleitung zur Erstellung und zum Lesen von Datenflussdiagrammen</w:t>
          </w:r>
        </w:p>
        <w:p>
          <w:pPr>
            <w:spacing w:before="120" w:line="240" w:lineRule="auto"/>
            <w:jc w:val="center"/>
            <w:rPr>
              <w:b/>
              <w:szCs w:val="22"/>
            </w:rPr>
          </w:pPr>
          <w:r>
            <w:rPr>
              <w:szCs w:val="22"/>
            </w:rPr>
            <w:fldChar w:fldCharType="end"/>
          </w:r>
          <w:r>
            <w:rPr>
              <w:b/>
              <w:szCs w:val="22"/>
            </w:rPr>
            <w:t>&lt;Vertraulichkeitsstufe&gt;</w:t>
          </w:r>
        </w:p>
        <w:p>
          <w:pPr>
            <w:spacing w:before="120" w:line="240" w:lineRule="auto"/>
            <w:jc w:val="center"/>
            <w:rPr>
              <w:rFonts w:ascii="Arial" w:hAnsi="Arial" w:cs="Arial"/>
              <w:b/>
              <w:i/>
              <w:sz w:val="21"/>
              <w:szCs w:val="21"/>
            </w:rPr>
          </w:pPr>
          <w:r>
            <w:rPr>
              <w:rFonts w:ascii="Arial" w:hAnsi="Arial" w:cs="Arial"/>
              <w:b/>
              <w:i/>
              <w:sz w:val="21"/>
              <w:szCs w:val="21"/>
            </w:rPr>
            <w:t>&lt;Vertraulichkeitsstufe&gt;</w:t>
          </w:r>
        </w:p>
        <w:p>
          <w:pPr>
            <w:tabs>
              <w:tab w:val="left" w:pos="1531"/>
            </w:tabs>
            <w:spacing w:line="240" w:lineRule="auto"/>
            <w:jc w:val="center"/>
            <w:rPr>
              <w:rFonts w:ascii="Arial" w:hAnsi="Arial"/>
              <w:sz w:val="26"/>
              <w:szCs w:val="22"/>
            </w:rPr>
          </w:pPr>
        </w:p>
      </w:tc>
      <w:tc>
        <w:tcPr>
          <w:tcW w:w="2997" w:type="dxa"/>
          <w:vAlign w:val="center"/>
        </w:tcPr>
        <w:p>
          <w:pPr>
            <w:tabs>
              <w:tab w:val="left" w:pos="1531"/>
            </w:tabs>
            <w:spacing w:before="0" w:line="240" w:lineRule="auto"/>
            <w:jc w:val="center"/>
            <w:rPr>
              <w:rFonts w:ascii="Arial" w:hAnsi="Arial"/>
              <w:b/>
              <w:noProof/>
              <w:color w:val="BFBFBF"/>
              <w:sz w:val="26"/>
              <w:szCs w:val="22"/>
            </w:rPr>
          </w:pPr>
          <w:r>
            <w:rPr>
              <w:rFonts w:ascii="Arial" w:hAnsi="Arial"/>
              <w:b/>
              <w:noProof/>
              <w:color w:val="BFBFBF"/>
              <w:sz w:val="26"/>
              <w:szCs w:val="22"/>
            </w:rPr>
            <w:t>Logo des/der</w:t>
          </w:r>
          <w:r>
            <w:rPr>
              <w:rFonts w:ascii="Arial" w:hAnsi="Arial"/>
              <w:b/>
              <w:noProof/>
              <w:color w:val="BFBFBF"/>
              <w:sz w:val="26"/>
              <w:szCs w:val="22"/>
            </w:rPr>
            <w:br/>
            <w:t>Dienstleister(s)</w:t>
          </w:r>
        </w:p>
      </w:tc>
    </w:tr>
  </w:tbl>
  <w:p>
    <w:pPr>
      <w:tabs>
        <w:tab w:val="left" w:pos="625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C663AD8"/>
    <w:lvl w:ilvl="0">
      <w:start w:val="1"/>
      <w:numFmt w:val="decimal"/>
      <w:lvlText w:val="%1."/>
      <w:lvlJc w:val="left"/>
      <w:pPr>
        <w:tabs>
          <w:tab w:val="num" w:pos="1492"/>
        </w:tabs>
        <w:ind w:left="1492" w:hanging="360"/>
      </w:pPr>
    </w:lvl>
  </w:abstractNum>
  <w:abstractNum w:abstractNumId="1">
    <w:nsid w:val="FFFFFF7D"/>
    <w:multiLevelType w:val="singleLevel"/>
    <w:tmpl w:val="A73C1686"/>
    <w:lvl w:ilvl="0">
      <w:start w:val="1"/>
      <w:numFmt w:val="decimal"/>
      <w:lvlText w:val="%1."/>
      <w:lvlJc w:val="left"/>
      <w:pPr>
        <w:tabs>
          <w:tab w:val="num" w:pos="1209"/>
        </w:tabs>
        <w:ind w:left="1209" w:hanging="360"/>
      </w:pPr>
    </w:lvl>
  </w:abstractNum>
  <w:abstractNum w:abstractNumId="2">
    <w:nsid w:val="FFFFFF7E"/>
    <w:multiLevelType w:val="singleLevel"/>
    <w:tmpl w:val="826023A2"/>
    <w:lvl w:ilvl="0">
      <w:start w:val="1"/>
      <w:numFmt w:val="decimal"/>
      <w:lvlText w:val="%1."/>
      <w:lvlJc w:val="left"/>
      <w:pPr>
        <w:tabs>
          <w:tab w:val="num" w:pos="926"/>
        </w:tabs>
        <w:ind w:left="926" w:hanging="360"/>
      </w:pPr>
    </w:lvl>
  </w:abstractNum>
  <w:abstractNum w:abstractNumId="3">
    <w:nsid w:val="FFFFFF7F"/>
    <w:multiLevelType w:val="singleLevel"/>
    <w:tmpl w:val="6CFEDA62"/>
    <w:lvl w:ilvl="0">
      <w:start w:val="1"/>
      <w:numFmt w:val="decimal"/>
      <w:lvlText w:val="%1."/>
      <w:lvlJc w:val="left"/>
      <w:pPr>
        <w:tabs>
          <w:tab w:val="num" w:pos="643"/>
        </w:tabs>
        <w:ind w:left="643" w:hanging="360"/>
      </w:pPr>
    </w:lvl>
  </w:abstractNum>
  <w:abstractNum w:abstractNumId="4">
    <w:nsid w:val="FFFFFF88"/>
    <w:multiLevelType w:val="singleLevel"/>
    <w:tmpl w:val="980ECDE0"/>
    <w:lvl w:ilvl="0">
      <w:start w:val="1"/>
      <w:numFmt w:val="decimal"/>
      <w:lvlText w:val="%1."/>
      <w:lvlJc w:val="left"/>
      <w:pPr>
        <w:tabs>
          <w:tab w:val="num" w:pos="360"/>
        </w:tabs>
        <w:ind w:left="360" w:hanging="360"/>
      </w:pPr>
    </w:lvl>
  </w:abstractNum>
  <w:abstractNum w:abstractNumId="5">
    <w:nsid w:val="FFFFFFFB"/>
    <w:multiLevelType w:val="multilevel"/>
    <w:tmpl w:val="FFFFFFFF"/>
    <w:lvl w:ilvl="0">
      <w:start w:val="1"/>
      <w:numFmt w:val="decimal"/>
      <w:pStyle w:val="berschrift1"/>
      <w:lvlText w:val="%1"/>
      <w:legacy w:legacy="1" w:legacySpace="680" w:legacyIndent="0"/>
      <w:lvlJc w:val="left"/>
    </w:lvl>
    <w:lvl w:ilvl="1">
      <w:start w:val="1"/>
      <w:numFmt w:val="decimal"/>
      <w:pStyle w:val="berschrift2"/>
      <w:lvlText w:val="%1.%2"/>
      <w:legacy w:legacy="1" w:legacySpace="510" w:legacyIndent="0"/>
      <w:lvlJc w:val="left"/>
    </w:lvl>
    <w:lvl w:ilvl="2">
      <w:start w:val="1"/>
      <w:numFmt w:val="decimal"/>
      <w:pStyle w:val="berschrift3"/>
      <w:lvlText w:val="%1.%2.%3"/>
      <w:legacy w:legacy="1" w:legacySpace="340" w:legacyIndent="0"/>
      <w:lvlJc w:val="left"/>
    </w:lvl>
    <w:lvl w:ilvl="3">
      <w:start w:val="1"/>
      <w:numFmt w:val="decimal"/>
      <w:pStyle w:val="berschrift4"/>
      <w:lvlText w:val="%1.%2.%3.%4"/>
      <w:legacy w:legacy="1" w:legacySpace="144" w:legacyIndent="0"/>
      <w:lvlJc w:val="left"/>
    </w:lvl>
    <w:lvl w:ilvl="4">
      <w:start w:val="1"/>
      <w:numFmt w:val="decimal"/>
      <w:pStyle w:val="berschrift5"/>
      <w:lvlText w:val="%1.%2.%3.%4.%5"/>
      <w:legacy w:legacy="1" w:legacySpace="144" w:legacyIndent="0"/>
      <w:lvlJc w:val="left"/>
    </w:lvl>
    <w:lvl w:ilvl="5">
      <w:start w:val="1"/>
      <w:numFmt w:val="decimal"/>
      <w:pStyle w:val="berschrift6"/>
      <w:lvlText w:val="%1.%2.%3.%4.%5.%6"/>
      <w:legacy w:legacy="1" w:legacySpace="144" w:legacyIndent="0"/>
      <w:lvlJc w:val="left"/>
    </w:lvl>
    <w:lvl w:ilvl="6">
      <w:start w:val="1"/>
      <w:numFmt w:val="decimal"/>
      <w:pStyle w:val="berschrift7"/>
      <w:lvlText w:val="%1.%2.%3.%4.%5.%6.%7"/>
      <w:legacy w:legacy="1" w:legacySpace="144" w:legacyIndent="0"/>
      <w:lvlJc w:val="left"/>
    </w:lvl>
    <w:lvl w:ilvl="7">
      <w:start w:val="1"/>
      <w:numFmt w:val="decimal"/>
      <w:pStyle w:val="berschrift8"/>
      <w:lvlText w:val="%1.%2.%3.%4.%5.%6.%7.%8"/>
      <w:legacy w:legacy="1" w:legacySpace="144" w:legacyIndent="0"/>
      <w:lvlJc w:val="left"/>
    </w:lvl>
    <w:lvl w:ilvl="8">
      <w:start w:val="1"/>
      <w:numFmt w:val="decimal"/>
      <w:pStyle w:val="berschrift9"/>
      <w:lvlText w:val="%1.%2.%3.%4.%5.%6.%7.%8.%9"/>
      <w:legacy w:legacy="1" w:legacySpace="144" w:legacyIndent="0"/>
      <w:lvlJc w:val="left"/>
    </w:lvl>
  </w:abstractNum>
  <w:abstractNum w:abstractNumId="6">
    <w:nsid w:val="FFFFFFFE"/>
    <w:multiLevelType w:val="singleLevel"/>
    <w:tmpl w:val="FFFFFFFF"/>
    <w:lvl w:ilvl="0">
      <w:numFmt w:val="decimal"/>
      <w:lvlText w:val="*"/>
      <w:lvlJc w:val="left"/>
    </w:lvl>
  </w:abstractNum>
  <w:abstractNum w:abstractNumId="7">
    <w:nsid w:val="05AE1A27"/>
    <w:multiLevelType w:val="hybridMultilevel"/>
    <w:tmpl w:val="246A66AC"/>
    <w:lvl w:ilvl="0" w:tplc="06320836">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382368B4"/>
    <w:multiLevelType w:val="hybridMultilevel"/>
    <w:tmpl w:val="252418F8"/>
    <w:lvl w:ilvl="0" w:tplc="04070005">
      <w:numFmt w:val="bullet"/>
      <w:lvlText w:val="-"/>
      <w:lvlJc w:val="left"/>
      <w:pPr>
        <w:tabs>
          <w:tab w:val="num" w:pos="1068"/>
        </w:tabs>
        <w:ind w:left="1068" w:hanging="360"/>
      </w:pPr>
      <w:rPr>
        <w:rFonts w:ascii="Times New Roman" w:eastAsia="Times New Roman" w:hAnsi="Times New Roman" w:cs="Times New Roman" w:hint="default"/>
      </w:rPr>
    </w:lvl>
    <w:lvl w:ilvl="1" w:tplc="04070003">
      <w:start w:val="1"/>
      <w:numFmt w:val="bullet"/>
      <w:lvlText w:val="o"/>
      <w:lvlJc w:val="left"/>
      <w:pPr>
        <w:tabs>
          <w:tab w:val="num" w:pos="1788"/>
        </w:tabs>
        <w:ind w:left="1788" w:hanging="360"/>
      </w:pPr>
      <w:rPr>
        <w:rFonts w:ascii="Courier New" w:hAnsi="Courier New" w:cs="Courier New" w:hint="default"/>
      </w:rPr>
    </w:lvl>
    <w:lvl w:ilvl="2" w:tplc="04070005">
      <w:start w:val="1"/>
      <w:numFmt w:val="bullet"/>
      <w:lvlText w:val=""/>
      <w:lvlJc w:val="left"/>
      <w:pPr>
        <w:tabs>
          <w:tab w:val="num" w:pos="2508"/>
        </w:tabs>
        <w:ind w:left="2508" w:hanging="360"/>
      </w:pPr>
      <w:rPr>
        <w:rFonts w:ascii="Wingdings" w:hAnsi="Wingdings" w:hint="default"/>
      </w:rPr>
    </w:lvl>
    <w:lvl w:ilvl="3" w:tplc="04070001" w:tentative="1">
      <w:start w:val="1"/>
      <w:numFmt w:val="bullet"/>
      <w:lvlText w:val=""/>
      <w:lvlJc w:val="left"/>
      <w:pPr>
        <w:tabs>
          <w:tab w:val="num" w:pos="3228"/>
        </w:tabs>
        <w:ind w:left="3228" w:hanging="360"/>
      </w:pPr>
      <w:rPr>
        <w:rFonts w:ascii="Symbol" w:hAnsi="Symbol" w:hint="default"/>
      </w:rPr>
    </w:lvl>
    <w:lvl w:ilvl="4" w:tplc="04070003" w:tentative="1">
      <w:start w:val="1"/>
      <w:numFmt w:val="bullet"/>
      <w:lvlText w:val="o"/>
      <w:lvlJc w:val="left"/>
      <w:pPr>
        <w:tabs>
          <w:tab w:val="num" w:pos="3948"/>
        </w:tabs>
        <w:ind w:left="3948" w:hanging="360"/>
      </w:pPr>
      <w:rPr>
        <w:rFonts w:ascii="Courier New" w:hAnsi="Courier New" w:cs="Courier New" w:hint="default"/>
      </w:rPr>
    </w:lvl>
    <w:lvl w:ilvl="5" w:tplc="04070005" w:tentative="1">
      <w:start w:val="1"/>
      <w:numFmt w:val="bullet"/>
      <w:lvlText w:val=""/>
      <w:lvlJc w:val="left"/>
      <w:pPr>
        <w:tabs>
          <w:tab w:val="num" w:pos="4668"/>
        </w:tabs>
        <w:ind w:left="4668" w:hanging="360"/>
      </w:pPr>
      <w:rPr>
        <w:rFonts w:ascii="Wingdings" w:hAnsi="Wingdings" w:hint="default"/>
      </w:rPr>
    </w:lvl>
    <w:lvl w:ilvl="6" w:tplc="04070001" w:tentative="1">
      <w:start w:val="1"/>
      <w:numFmt w:val="bullet"/>
      <w:lvlText w:val=""/>
      <w:lvlJc w:val="left"/>
      <w:pPr>
        <w:tabs>
          <w:tab w:val="num" w:pos="5388"/>
        </w:tabs>
        <w:ind w:left="5388" w:hanging="360"/>
      </w:pPr>
      <w:rPr>
        <w:rFonts w:ascii="Symbol" w:hAnsi="Symbol" w:hint="default"/>
      </w:rPr>
    </w:lvl>
    <w:lvl w:ilvl="7" w:tplc="04070003" w:tentative="1">
      <w:start w:val="1"/>
      <w:numFmt w:val="bullet"/>
      <w:lvlText w:val="o"/>
      <w:lvlJc w:val="left"/>
      <w:pPr>
        <w:tabs>
          <w:tab w:val="num" w:pos="6108"/>
        </w:tabs>
        <w:ind w:left="6108" w:hanging="360"/>
      </w:pPr>
      <w:rPr>
        <w:rFonts w:ascii="Courier New" w:hAnsi="Courier New" w:cs="Courier New" w:hint="default"/>
      </w:rPr>
    </w:lvl>
    <w:lvl w:ilvl="8" w:tplc="04070005" w:tentative="1">
      <w:start w:val="1"/>
      <w:numFmt w:val="bullet"/>
      <w:lvlText w:val=""/>
      <w:lvlJc w:val="left"/>
      <w:pPr>
        <w:tabs>
          <w:tab w:val="num" w:pos="6828"/>
        </w:tabs>
        <w:ind w:left="6828" w:hanging="360"/>
      </w:pPr>
      <w:rPr>
        <w:rFonts w:ascii="Wingdings" w:hAnsi="Wingdings" w:hint="default"/>
      </w:rPr>
    </w:lvl>
  </w:abstractNum>
  <w:abstractNum w:abstractNumId="9">
    <w:nsid w:val="45DB29B1"/>
    <w:multiLevelType w:val="hybridMultilevel"/>
    <w:tmpl w:val="72B89914"/>
    <w:lvl w:ilvl="0" w:tplc="06320836">
      <w:numFmt w:val="bullet"/>
      <w:lvlText w:val="-"/>
      <w:lvlJc w:val="left"/>
      <w:pPr>
        <w:ind w:left="720" w:hanging="360"/>
      </w:pPr>
      <w:rPr>
        <w:rFonts w:ascii="Times New Roman" w:eastAsia="Times New Roman" w:hAnsi="Times New Roma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46991EB1"/>
    <w:multiLevelType w:val="hybridMultilevel"/>
    <w:tmpl w:val="ABFA3310"/>
    <w:lvl w:ilvl="0" w:tplc="A208BED6">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56C474A2"/>
    <w:multiLevelType w:val="hybridMultilevel"/>
    <w:tmpl w:val="A61856C6"/>
    <w:lvl w:ilvl="0" w:tplc="C3589AEA">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645605AF"/>
    <w:multiLevelType w:val="hybridMultilevel"/>
    <w:tmpl w:val="D6CA923A"/>
    <w:lvl w:ilvl="0" w:tplc="0407000F">
      <w:start w:val="30"/>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763066D7"/>
    <w:multiLevelType w:val="hybridMultilevel"/>
    <w:tmpl w:val="83F4B882"/>
    <w:lvl w:ilvl="0" w:tplc="06320836">
      <w:numFmt w:val="bullet"/>
      <w:lvlText w:val="-"/>
      <w:lvlJc w:val="left"/>
      <w:pPr>
        <w:ind w:left="720" w:hanging="360"/>
      </w:pPr>
      <w:rPr>
        <w:rFonts w:ascii="Times New Roman" w:eastAsia="Times New Roman" w:hAnsi="Times New Roma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7942326D"/>
    <w:multiLevelType w:val="singleLevel"/>
    <w:tmpl w:val="AECC72E4"/>
    <w:lvl w:ilvl="0">
      <w:start w:val="1"/>
      <w:numFmt w:val="bullet"/>
      <w:pStyle w:val="Aufzhlungszeichen"/>
      <w:lvlText w:val=""/>
      <w:lvlJc w:val="left"/>
      <w:pPr>
        <w:tabs>
          <w:tab w:val="num" w:pos="360"/>
        </w:tabs>
        <w:ind w:left="360" w:hanging="360"/>
      </w:pPr>
      <w:rPr>
        <w:rFonts w:ascii="Symbol" w:hAnsi="Symbol" w:hint="default"/>
      </w:rPr>
    </w:lvl>
  </w:abstractNum>
  <w:abstractNum w:abstractNumId="15">
    <w:nsid w:val="7E2B0949"/>
    <w:multiLevelType w:val="hybridMultilevel"/>
    <w:tmpl w:val="FB326760"/>
    <w:lvl w:ilvl="0" w:tplc="6052ADC6">
      <w:numFmt w:val="bullet"/>
      <w:lvlText w:val="-"/>
      <w:lvlJc w:val="left"/>
      <w:pPr>
        <w:ind w:left="360" w:hanging="360"/>
      </w:pPr>
      <w:rPr>
        <w:rFonts w:ascii="Times New Roman" w:eastAsia="Times New Roman" w:hAnsi="Times New Roman"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5"/>
  </w:num>
  <w:num w:numId="2">
    <w:abstractNumId w:val="6"/>
    <w:lvlOverride w:ilvl="0">
      <w:lvl w:ilvl="0">
        <w:start w:val="1"/>
        <w:numFmt w:val="bullet"/>
        <w:lvlText w:val=""/>
        <w:legacy w:legacy="1" w:legacySpace="0" w:legacyIndent="283"/>
        <w:lvlJc w:val="left"/>
        <w:pPr>
          <w:ind w:left="283" w:hanging="283"/>
        </w:pPr>
        <w:rPr>
          <w:rFonts w:ascii="Courier New" w:hAnsi="Courier New" w:hint="default"/>
        </w:rPr>
      </w:lvl>
    </w:lvlOverride>
  </w:num>
  <w:num w:numId="3">
    <w:abstractNumId w:val="14"/>
  </w:num>
  <w:num w:numId="4">
    <w:abstractNumId w:val="4"/>
  </w:num>
  <w:num w:numId="5">
    <w:abstractNumId w:val="3"/>
  </w:num>
  <w:num w:numId="6">
    <w:abstractNumId w:val="2"/>
  </w:num>
  <w:num w:numId="7">
    <w:abstractNumId w:val="1"/>
  </w:num>
  <w:num w:numId="8">
    <w:abstractNumId w:val="0"/>
  </w:num>
  <w:num w:numId="9">
    <w:abstractNumId w:val="5"/>
  </w:num>
  <w:num w:numId="10">
    <w:abstractNumId w:val="9"/>
  </w:num>
  <w:num w:numId="11">
    <w:abstractNumId w:val="12"/>
  </w:num>
  <w:num w:numId="12">
    <w:abstractNumId w:val="8"/>
  </w:num>
  <w:num w:numId="13">
    <w:abstractNumId w:val="11"/>
  </w:num>
  <w:num w:numId="14">
    <w:abstractNumId w:val="7"/>
  </w:num>
  <w:num w:numId="15">
    <w:abstractNumId w:val="10"/>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0"/>
  <w:displayVerticalDrawingGridEvery w:val="0"/>
  <w:noPunctuationKerning/>
  <w:characterSpacingControl w:val="doNotCompress"/>
  <w:hdrShapeDefaults>
    <o:shapedefaults v:ext="edit" spidmax="1433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pacing w:before="240" w:line="264" w:lineRule="auto"/>
      <w:jc w:val="both"/>
    </w:pPr>
    <w:rPr>
      <w:sz w:val="22"/>
    </w:rPr>
  </w:style>
  <w:style w:type="paragraph" w:styleId="berschrift1">
    <w:name w:val="heading 1"/>
    <w:next w:val="Standard"/>
    <w:qFormat/>
    <w:pPr>
      <w:keepNext/>
      <w:pageBreakBefore/>
      <w:numPr>
        <w:numId w:val="9"/>
      </w:numPr>
      <w:spacing w:before="600"/>
      <w:outlineLvl w:val="0"/>
    </w:pPr>
    <w:rPr>
      <w:rFonts w:ascii="Arial" w:hAnsi="Arial"/>
      <w:sz w:val="30"/>
    </w:rPr>
  </w:style>
  <w:style w:type="paragraph" w:styleId="berschrift2">
    <w:name w:val="heading 2"/>
    <w:basedOn w:val="StandardGliederung"/>
    <w:next w:val="Standard"/>
    <w:qFormat/>
    <w:pPr>
      <w:keepLines w:val="0"/>
      <w:pageBreakBefore/>
      <w:numPr>
        <w:ilvl w:val="1"/>
        <w:numId w:val="9"/>
      </w:numPr>
      <w:ind w:left="0" w:firstLine="0"/>
      <w:outlineLvl w:val="1"/>
    </w:pPr>
    <w:rPr>
      <w:sz w:val="26"/>
    </w:rPr>
  </w:style>
  <w:style w:type="paragraph" w:styleId="berschrift3">
    <w:name w:val="heading 3"/>
    <w:basedOn w:val="StandardGliederung"/>
    <w:next w:val="Standard"/>
    <w:qFormat/>
    <w:pPr>
      <w:keepLines w:val="0"/>
      <w:numPr>
        <w:ilvl w:val="2"/>
        <w:numId w:val="9"/>
      </w:numPr>
      <w:ind w:left="0" w:firstLine="0"/>
      <w:outlineLvl w:val="2"/>
    </w:pPr>
  </w:style>
  <w:style w:type="paragraph" w:styleId="berschrift4">
    <w:name w:val="heading 4"/>
    <w:basedOn w:val="StandardGliederung"/>
    <w:next w:val="Standard"/>
    <w:qFormat/>
    <w:pPr>
      <w:keepLines w:val="0"/>
      <w:numPr>
        <w:ilvl w:val="3"/>
        <w:numId w:val="9"/>
      </w:numPr>
      <w:ind w:left="0" w:firstLine="0"/>
      <w:outlineLvl w:val="3"/>
    </w:pPr>
  </w:style>
  <w:style w:type="paragraph" w:styleId="berschrift5">
    <w:name w:val="heading 5"/>
    <w:basedOn w:val="StandardGliederung"/>
    <w:next w:val="Standard"/>
    <w:qFormat/>
    <w:pPr>
      <w:keepLines w:val="0"/>
      <w:numPr>
        <w:ilvl w:val="4"/>
        <w:numId w:val="9"/>
      </w:numPr>
      <w:ind w:left="0" w:firstLine="0"/>
      <w:outlineLvl w:val="4"/>
    </w:pPr>
  </w:style>
  <w:style w:type="paragraph" w:styleId="berschrift6">
    <w:name w:val="heading 6"/>
    <w:basedOn w:val="StandardGliederung"/>
    <w:next w:val="Standard"/>
    <w:qFormat/>
    <w:pPr>
      <w:keepLines w:val="0"/>
      <w:numPr>
        <w:ilvl w:val="5"/>
        <w:numId w:val="9"/>
      </w:numPr>
      <w:ind w:left="0" w:firstLine="0"/>
      <w:outlineLvl w:val="5"/>
    </w:pPr>
  </w:style>
  <w:style w:type="paragraph" w:styleId="berschrift7">
    <w:name w:val="heading 7"/>
    <w:basedOn w:val="StandardGliederung"/>
    <w:next w:val="Standard"/>
    <w:qFormat/>
    <w:pPr>
      <w:keepLines w:val="0"/>
      <w:numPr>
        <w:ilvl w:val="6"/>
        <w:numId w:val="9"/>
      </w:numPr>
      <w:ind w:left="0" w:firstLine="0"/>
      <w:outlineLvl w:val="6"/>
    </w:pPr>
  </w:style>
  <w:style w:type="paragraph" w:styleId="berschrift8">
    <w:name w:val="heading 8"/>
    <w:basedOn w:val="StandardGliederung"/>
    <w:next w:val="Standard"/>
    <w:qFormat/>
    <w:pPr>
      <w:keepLines w:val="0"/>
      <w:numPr>
        <w:ilvl w:val="7"/>
        <w:numId w:val="9"/>
      </w:numPr>
      <w:ind w:left="0" w:firstLine="0"/>
      <w:outlineLvl w:val="7"/>
    </w:pPr>
  </w:style>
  <w:style w:type="paragraph" w:styleId="berschrift9">
    <w:name w:val="heading 9"/>
    <w:basedOn w:val="StandardGliederung"/>
    <w:next w:val="Standard"/>
    <w:qFormat/>
    <w:pPr>
      <w:keepLines w:val="0"/>
      <w:numPr>
        <w:ilvl w:val="8"/>
        <w:numId w:val="9"/>
      </w:numPr>
      <w:ind w:left="0" w:firstLine="0"/>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Gliederung">
    <w:name w:val="Standard Gliederung"/>
    <w:basedOn w:val="Standard"/>
    <w:next w:val="Standard"/>
    <w:pPr>
      <w:keepNext/>
      <w:keepLines/>
      <w:spacing w:before="480"/>
      <w:ind w:left="851" w:hanging="851"/>
      <w:jc w:val="left"/>
    </w:pPr>
    <w:rPr>
      <w:rFonts w:ascii="Arial" w:hAnsi="Arial"/>
    </w:rPr>
  </w:style>
  <w:style w:type="character" w:styleId="Seitenzahl">
    <w:name w:val="page number"/>
    <w:basedOn w:val="Absatz-Standardschriftart"/>
  </w:style>
  <w:style w:type="paragraph" w:styleId="Funotentext">
    <w:name w:val="footnote text"/>
    <w:basedOn w:val="Standard"/>
    <w:semiHidden/>
    <w:pPr>
      <w:keepLines/>
      <w:spacing w:before="60"/>
      <w:ind w:left="567" w:hanging="284"/>
    </w:pPr>
    <w:rPr>
      <w:sz w:val="18"/>
    </w:rPr>
  </w:style>
  <w:style w:type="character" w:styleId="Funotenzeichen">
    <w:name w:val="footnote reference"/>
    <w:semiHidden/>
    <w:rPr>
      <w:position w:val="6"/>
      <w:sz w:val="18"/>
    </w:rPr>
  </w:style>
  <w:style w:type="paragraph" w:customStyle="1" w:styleId="Tabellenberschrift">
    <w:name w:val="Tabellenüberschrift"/>
    <w:basedOn w:val="Standard"/>
    <w:pPr>
      <w:spacing w:before="60" w:after="60"/>
    </w:pPr>
    <w:rPr>
      <w:rFonts w:ascii="Arial" w:hAnsi="Arial"/>
      <w:b/>
    </w:rPr>
  </w:style>
  <w:style w:type="paragraph" w:customStyle="1" w:styleId="StandardKopfFu">
    <w:name w:val="Standard Kopf&amp;Fuß"/>
    <w:basedOn w:val="Standard"/>
    <w:pPr>
      <w:spacing w:before="0"/>
      <w:jc w:val="left"/>
    </w:pPr>
    <w:rPr>
      <w:rFonts w:ascii="Arial" w:hAnsi="Arial"/>
      <w:sz w:val="18"/>
    </w:rPr>
  </w:style>
  <w:style w:type="paragraph" w:customStyle="1" w:styleId="StandardTabelle">
    <w:name w:val="Standard Tabelle"/>
    <w:basedOn w:val="Standard"/>
    <w:pPr>
      <w:spacing w:before="120" w:after="120"/>
      <w:jc w:val="left"/>
    </w:pPr>
  </w:style>
  <w:style w:type="paragraph" w:customStyle="1" w:styleId="StandardVerzeichnis">
    <w:name w:val="Standard Verzeichnis"/>
    <w:basedOn w:val="Standard"/>
    <w:pPr>
      <w:keepLines/>
      <w:tabs>
        <w:tab w:val="right" w:pos="8789"/>
      </w:tabs>
      <w:spacing w:before="60"/>
      <w:ind w:left="284" w:right="284" w:hanging="284"/>
      <w:jc w:val="left"/>
    </w:pPr>
    <w:rPr>
      <w:noProof/>
    </w:rPr>
  </w:style>
  <w:style w:type="paragraph" w:styleId="Standardeinzug">
    <w:name w:val="Normal Indent"/>
    <w:basedOn w:val="Standard"/>
    <w:pPr>
      <w:ind w:left="708"/>
    </w:pPr>
  </w:style>
  <w:style w:type="paragraph" w:styleId="Verzeichnis1">
    <w:name w:val="toc 1"/>
    <w:basedOn w:val="StandardVerzeichnis"/>
    <w:uiPriority w:val="39"/>
    <w:pPr>
      <w:tabs>
        <w:tab w:val="clear" w:pos="8789"/>
        <w:tab w:val="right" w:pos="9356"/>
      </w:tabs>
      <w:spacing w:before="240"/>
      <w:ind w:right="737"/>
    </w:pPr>
    <w:rPr>
      <w:b/>
    </w:rPr>
  </w:style>
  <w:style w:type="paragraph" w:styleId="Verzeichnis2">
    <w:name w:val="toc 2"/>
    <w:basedOn w:val="StandardVerzeichnis"/>
    <w:uiPriority w:val="39"/>
    <w:pPr>
      <w:tabs>
        <w:tab w:val="clear" w:pos="8789"/>
        <w:tab w:val="right" w:pos="9356"/>
      </w:tabs>
      <w:spacing w:before="120"/>
      <w:ind w:left="851" w:right="737" w:hanging="567"/>
    </w:pPr>
  </w:style>
  <w:style w:type="paragraph" w:styleId="Verzeichnis3">
    <w:name w:val="toc 3"/>
    <w:basedOn w:val="StandardVerzeichnis"/>
    <w:pPr>
      <w:tabs>
        <w:tab w:val="clear" w:pos="8789"/>
        <w:tab w:val="right" w:pos="9356"/>
      </w:tabs>
      <w:ind w:left="1560" w:right="737" w:hanging="709"/>
    </w:pPr>
  </w:style>
  <w:style w:type="paragraph" w:styleId="Verzeichnis4">
    <w:name w:val="toc 4"/>
    <w:basedOn w:val="StandardVerzeichnis"/>
    <w:pPr>
      <w:tabs>
        <w:tab w:val="clear" w:pos="8789"/>
        <w:tab w:val="right" w:pos="9356"/>
      </w:tabs>
      <w:ind w:left="2410" w:right="737" w:hanging="851"/>
    </w:pPr>
  </w:style>
  <w:style w:type="paragraph" w:styleId="Aufzhlungszeichen">
    <w:name w:val="List Bullet"/>
    <w:basedOn w:val="Standard"/>
    <w:pPr>
      <w:widowControl w:val="0"/>
      <w:numPr>
        <w:numId w:val="3"/>
      </w:numPr>
      <w:tabs>
        <w:tab w:val="clear" w:pos="360"/>
      </w:tabs>
      <w:ind w:left="357" w:hanging="357"/>
    </w:pPr>
  </w:style>
  <w:style w:type="paragraph" w:styleId="Fuzeile">
    <w:name w:val="footer"/>
    <w:basedOn w:val="StandardKopfFu"/>
    <w:pPr>
      <w:pBdr>
        <w:top w:val="single" w:sz="6" w:space="1" w:color="808080"/>
        <w:between w:val="single" w:sz="6" w:space="1" w:color="auto"/>
      </w:pBdr>
      <w:tabs>
        <w:tab w:val="right" w:pos="8789"/>
      </w:tabs>
      <w:jc w:val="center"/>
    </w:pPr>
  </w:style>
  <w:style w:type="paragraph" w:styleId="Kopfzeile">
    <w:name w:val="header"/>
    <w:basedOn w:val="Standard"/>
    <w:pPr>
      <w:tabs>
        <w:tab w:val="center" w:pos="4536"/>
        <w:tab w:val="right" w:pos="9072"/>
      </w:tabs>
      <w:spacing w:before="0" w:line="240" w:lineRule="auto"/>
    </w:pPr>
    <w:rPr>
      <w:rFonts w:ascii="Arial" w:hAnsi="Arial"/>
      <w:sz w:val="18"/>
    </w:rPr>
  </w:style>
  <w:style w:type="paragraph" w:styleId="Beschriftung">
    <w:name w:val="caption"/>
    <w:basedOn w:val="Standard"/>
    <w:next w:val="Standard"/>
    <w:qFormat/>
    <w:pPr>
      <w:spacing w:before="120" w:after="120"/>
      <w:jc w:val="center"/>
    </w:pPr>
    <w:rPr>
      <w:i/>
    </w:rPr>
  </w:style>
  <w:style w:type="paragraph" w:customStyle="1" w:styleId="Abbildung">
    <w:name w:val="Abbildung"/>
    <w:basedOn w:val="Standard"/>
    <w:pPr>
      <w:keepNext/>
      <w:jc w:val="center"/>
    </w:pPr>
  </w:style>
  <w:style w:type="character" w:customStyle="1" w:styleId="Code-Standardschriftart">
    <w:name w:val="Code-Standardschriftart"/>
    <w:rPr>
      <w:rFonts w:ascii="Courier New" w:hAnsi="Courier New"/>
      <w:noProof/>
      <w:sz w:val="22"/>
    </w:rPr>
  </w:style>
  <w:style w:type="paragraph" w:customStyle="1" w:styleId="Unterschriftzeile">
    <w:name w:val="Unterschriftzeile"/>
    <w:basedOn w:val="Standard"/>
    <w:pPr>
      <w:widowControl w:val="0"/>
      <w:tabs>
        <w:tab w:val="left" w:pos="3402"/>
      </w:tabs>
      <w:spacing w:before="480"/>
      <w:jc w:val="left"/>
    </w:pPr>
  </w:style>
  <w:style w:type="paragraph" w:styleId="Verzeichnis5">
    <w:name w:val="toc 5"/>
    <w:basedOn w:val="StandardVerzeichnis"/>
    <w:next w:val="Standard"/>
    <w:pPr>
      <w:tabs>
        <w:tab w:val="clear" w:pos="8789"/>
        <w:tab w:val="right" w:pos="9356"/>
      </w:tabs>
      <w:ind w:left="3544" w:right="737" w:hanging="1134"/>
    </w:pPr>
  </w:style>
  <w:style w:type="paragraph" w:styleId="Verzeichnis6">
    <w:name w:val="toc 6"/>
    <w:basedOn w:val="StandardVerzeichnis"/>
    <w:next w:val="Standard"/>
    <w:pPr>
      <w:tabs>
        <w:tab w:val="clear" w:pos="8789"/>
        <w:tab w:val="right" w:pos="9356"/>
      </w:tabs>
      <w:ind w:left="3970" w:right="737" w:hanging="1418"/>
    </w:pPr>
  </w:style>
  <w:style w:type="paragraph" w:styleId="Verzeichnis7">
    <w:name w:val="toc 7"/>
    <w:basedOn w:val="StandardVerzeichnis"/>
    <w:next w:val="Standard"/>
    <w:pPr>
      <w:tabs>
        <w:tab w:val="clear" w:pos="8789"/>
        <w:tab w:val="right" w:pos="9356"/>
      </w:tabs>
      <w:ind w:left="4394" w:right="737" w:hanging="1701"/>
    </w:pPr>
  </w:style>
  <w:style w:type="paragraph" w:styleId="Verzeichnis8">
    <w:name w:val="toc 8"/>
    <w:basedOn w:val="StandardVerzeichnis"/>
    <w:next w:val="Standard"/>
    <w:pPr>
      <w:tabs>
        <w:tab w:val="clear" w:pos="8789"/>
        <w:tab w:val="right" w:pos="9356"/>
      </w:tabs>
      <w:ind w:left="4678" w:right="737" w:hanging="1843"/>
    </w:pPr>
  </w:style>
  <w:style w:type="paragraph" w:styleId="Verzeichnis9">
    <w:name w:val="toc 9"/>
    <w:basedOn w:val="StandardVerzeichnis"/>
    <w:next w:val="Standard"/>
    <w:semiHidden/>
    <w:pPr>
      <w:tabs>
        <w:tab w:val="clear" w:pos="8789"/>
        <w:tab w:val="right" w:pos="8244"/>
      </w:tabs>
      <w:ind w:left="4962" w:right="737" w:hanging="1985"/>
    </w:pPr>
  </w:style>
  <w:style w:type="paragraph" w:customStyle="1" w:styleId="Zwischenber2">
    <w:name w:val="Zwischenüber 2"/>
    <w:basedOn w:val="Standard"/>
    <w:next w:val="Standard"/>
    <w:pPr>
      <w:keepNext/>
      <w:keepLines/>
    </w:pPr>
    <w:rPr>
      <w:rFonts w:ascii="Arial" w:hAnsi="Arial"/>
      <w:sz w:val="26"/>
    </w:rPr>
  </w:style>
  <w:style w:type="paragraph" w:customStyle="1" w:styleId="Zwischenber1">
    <w:name w:val="Zwischenüber 1"/>
    <w:basedOn w:val="Standard"/>
    <w:next w:val="Standard"/>
    <w:pPr>
      <w:keepNext/>
      <w:keepLines/>
      <w:spacing w:before="600"/>
    </w:pPr>
    <w:rPr>
      <w:rFonts w:ascii="Arial" w:hAnsi="Arial"/>
      <w:sz w:val="30"/>
    </w:rPr>
  </w:style>
  <w:style w:type="character" w:styleId="Hyperlink">
    <w:name w:val="Hyperlink"/>
    <w:rPr>
      <w:color w:val="0000FF"/>
      <w:u w:val="single"/>
    </w:rPr>
  </w:style>
  <w:style w:type="table" w:styleId="Tabellenraster">
    <w:name w:val="Table Grid"/>
    <w:basedOn w:val="NormaleTabelle"/>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kblattUntertitel">
    <w:name w:val="Deckblatt Untertitel"/>
    <w:pPr>
      <w:spacing w:before="3600"/>
      <w:ind w:right="1304"/>
    </w:pPr>
    <w:rPr>
      <w:rFonts w:ascii="Arial" w:hAnsi="Arial"/>
      <w:sz w:val="40"/>
    </w:rPr>
  </w:style>
  <w:style w:type="paragraph" w:customStyle="1" w:styleId="DeckblattAutor">
    <w:name w:val="Deckblatt Autor"/>
    <w:pPr>
      <w:spacing w:before="440" w:after="440"/>
    </w:pPr>
    <w:rPr>
      <w:rFonts w:ascii="Arial" w:hAnsi="Arial"/>
      <w:sz w:val="26"/>
    </w:rPr>
  </w:style>
  <w:style w:type="paragraph" w:customStyle="1" w:styleId="AufsatzDeckblattVersion">
    <w:name w:val="Aufsatz Deckblatt Version"/>
    <w:basedOn w:val="StandardDeckblatt"/>
    <w:pPr>
      <w:spacing w:before="440"/>
    </w:pPr>
    <w:rPr>
      <w:sz w:val="22"/>
    </w:rPr>
  </w:style>
  <w:style w:type="paragraph" w:customStyle="1" w:styleId="StandardDeckblatt">
    <w:name w:val="Standard Deckblatt"/>
    <w:link w:val="StandardDeckblattZchn"/>
    <w:pPr>
      <w:tabs>
        <w:tab w:val="left" w:pos="1531"/>
      </w:tabs>
    </w:pPr>
    <w:rPr>
      <w:rFonts w:ascii="Arial" w:hAnsi="Arial"/>
      <w:sz w:val="26"/>
    </w:rPr>
  </w:style>
  <w:style w:type="paragraph" w:customStyle="1" w:styleId="DeckblattAdresse">
    <w:name w:val="Deckblatt Adresse"/>
    <w:pPr>
      <w:framePr w:w="2739" w:hSpace="142" w:vSpace="142" w:wrap="around" w:vAnchor="page" w:hAnchor="margin" w:x="8245" w:y="14255"/>
      <w:tabs>
        <w:tab w:val="left" w:pos="709"/>
        <w:tab w:val="left" w:pos="1496"/>
      </w:tabs>
    </w:pPr>
    <w:rPr>
      <w:rFonts w:ascii="Arial" w:hAnsi="Arial"/>
      <w:noProof/>
      <w:sz w:val="14"/>
    </w:rPr>
  </w:style>
  <w:style w:type="paragraph" w:customStyle="1" w:styleId="AufsatzKopfzeile">
    <w:name w:val="Aufsatz Kopfzeile"/>
    <w:link w:val="AufsatzKopfzeileChar"/>
    <w:rPr>
      <w:rFonts w:ascii="Arial" w:hAnsi="Arial"/>
      <w:sz w:val="18"/>
    </w:rPr>
  </w:style>
  <w:style w:type="paragraph" w:customStyle="1" w:styleId="AufsatzFuzeile">
    <w:name w:val="Aufsatz Fußzeile"/>
    <w:pPr>
      <w:framePr w:hSpace="142" w:wrap="around" w:vAnchor="text" w:hAnchor="text" w:y="29"/>
      <w:jc w:val="center"/>
    </w:pPr>
    <w:rPr>
      <w:rFonts w:ascii="Arial" w:hAnsi="Arial"/>
      <w:sz w:val="18"/>
    </w:rPr>
  </w:style>
  <w:style w:type="character" w:customStyle="1" w:styleId="AufsatzKopfzeileChar">
    <w:name w:val="Aufsatz Kopfzeile Char"/>
    <w:link w:val="AufsatzKopfzeile"/>
    <w:rPr>
      <w:rFonts w:ascii="Arial" w:hAnsi="Arial"/>
      <w:sz w:val="18"/>
      <w:lang w:val="de-DE" w:eastAsia="de-DE" w:bidi="ar-SA"/>
    </w:rPr>
  </w:style>
  <w:style w:type="paragraph" w:customStyle="1" w:styleId="AufsatzDeckblattFuzeile">
    <w:name w:val="Aufsatz Deckblatt Fußzeile"/>
    <w:rPr>
      <w:rFonts w:ascii="Arial" w:hAnsi="Arial"/>
      <w:sz w:val="16"/>
    </w:rPr>
  </w:style>
  <w:style w:type="paragraph" w:customStyle="1" w:styleId="AufsatzAdressblock">
    <w:name w:val="Aufsatz Adressblock"/>
    <w:pPr>
      <w:framePr w:w="2098" w:h="1412" w:hSpace="142" w:wrap="around" w:hAnchor="margin" w:x="8245" w:y="12214"/>
    </w:pPr>
    <w:rPr>
      <w:rFonts w:ascii="Arial" w:hAnsi="Arial"/>
      <w:sz w:val="14"/>
    </w:rPr>
  </w:style>
  <w:style w:type="paragraph" w:customStyle="1" w:styleId="AufsatzAdressblockgrau">
    <w:name w:val="Aufsatz Adressblock grau"/>
    <w:basedOn w:val="AufsatzAdressblock"/>
    <w:pPr>
      <w:framePr w:wrap="around"/>
    </w:pPr>
    <w:rPr>
      <w:color w:val="999999"/>
      <w:szCs w:val="14"/>
    </w:rPr>
  </w:style>
  <w:style w:type="paragraph" w:customStyle="1" w:styleId="DeckblattTitel">
    <w:name w:val="Deckblatt Titel"/>
    <w:basedOn w:val="StandardDeckblatt"/>
    <w:rPr>
      <w:szCs w:val="22"/>
    </w:rPr>
  </w:style>
  <w:style w:type="paragraph" w:customStyle="1" w:styleId="AufsatzAdressblockgrn">
    <w:name w:val="Aufsatz Adressblock grün"/>
    <w:pPr>
      <w:framePr w:w="2415" w:h="1412" w:wrap="around" w:hAnchor="margin" w:x="8223" w:y="12078"/>
    </w:pPr>
    <w:rPr>
      <w:rFonts w:ascii="Arial" w:hAnsi="Arial"/>
      <w:color w:val="008000"/>
      <w:sz w:val="14"/>
    </w:rPr>
  </w:style>
  <w:style w:type="paragraph" w:customStyle="1" w:styleId="ZeugnisAdressbox">
    <w:name w:val="Zeugnis Adressbox"/>
    <w:pPr>
      <w:framePr w:w="2415" w:wrap="auto" w:hAnchor="text" w:x="8223" w:y="12248"/>
    </w:pPr>
    <w:rPr>
      <w:rFonts w:ascii="Arial" w:hAnsi="Arial"/>
      <w:sz w:val="14"/>
    </w:rPr>
  </w:style>
  <w:style w:type="paragraph" w:customStyle="1" w:styleId="BriefFooter1">
    <w:name w:val="Brief Footer 1"/>
    <w:rPr>
      <w:rFonts w:ascii="Arial" w:hAnsi="Arial"/>
      <w:sz w:val="14"/>
    </w:rPr>
  </w:style>
  <w:style w:type="character" w:styleId="Kommentarzeichen">
    <w:name w:val="annotation reference"/>
    <w:rPr>
      <w:sz w:val="16"/>
      <w:szCs w:val="16"/>
    </w:rPr>
  </w:style>
  <w:style w:type="paragraph" w:styleId="Kommentartext">
    <w:name w:val="annotation text"/>
    <w:basedOn w:val="Standard"/>
    <w:link w:val="KommentartextZchn"/>
    <w:rPr>
      <w:sz w:val="20"/>
    </w:rPr>
  </w:style>
  <w:style w:type="character" w:customStyle="1" w:styleId="KommentartextZchn">
    <w:name w:val="Kommentartext Zchn"/>
    <w:basedOn w:val="Absatz-Standardschriftart"/>
    <w:link w:val="Kommentartext"/>
  </w:style>
  <w:style w:type="paragraph" w:styleId="Kommentarthema">
    <w:name w:val="annotation subject"/>
    <w:basedOn w:val="Kommentartext"/>
    <w:next w:val="Kommentartext"/>
    <w:link w:val="KommentarthemaZchn"/>
    <w:rPr>
      <w:b/>
      <w:bCs/>
    </w:rPr>
  </w:style>
  <w:style w:type="character" w:customStyle="1" w:styleId="KommentarthemaZchn">
    <w:name w:val="Kommentarthema Zchn"/>
    <w:link w:val="Kommentarthema"/>
    <w:rPr>
      <w:b/>
      <w:bCs/>
    </w:rPr>
  </w:style>
  <w:style w:type="paragraph" w:styleId="Sprechblasentext">
    <w:name w:val="Balloon Text"/>
    <w:basedOn w:val="Standard"/>
    <w:link w:val="SprechblasentextZchn"/>
    <w:pPr>
      <w:spacing w:before="0" w:line="240" w:lineRule="auto"/>
    </w:pPr>
    <w:rPr>
      <w:rFonts w:ascii="Tahoma" w:hAnsi="Tahoma" w:cs="Tahoma"/>
      <w:sz w:val="16"/>
      <w:szCs w:val="16"/>
    </w:rPr>
  </w:style>
  <w:style w:type="character" w:customStyle="1" w:styleId="SprechblasentextZchn">
    <w:name w:val="Sprechblasentext Zchn"/>
    <w:link w:val="Sprechblasentext"/>
    <w:rPr>
      <w:rFonts w:ascii="Tahoma" w:hAnsi="Tahoma" w:cs="Tahoma"/>
      <w:sz w:val="16"/>
      <w:szCs w:val="16"/>
    </w:rPr>
  </w:style>
  <w:style w:type="paragraph" w:styleId="Dokumentstruktur">
    <w:name w:val="Document Map"/>
    <w:basedOn w:val="Standard"/>
    <w:link w:val="DokumentstrukturZchn"/>
    <w:rPr>
      <w:rFonts w:ascii="Tahoma" w:hAnsi="Tahoma" w:cs="Tahoma"/>
      <w:sz w:val="16"/>
      <w:szCs w:val="16"/>
    </w:rPr>
  </w:style>
  <w:style w:type="character" w:customStyle="1" w:styleId="DokumentstrukturZchn">
    <w:name w:val="Dokumentstruktur Zchn"/>
    <w:link w:val="Dokumentstruktur"/>
    <w:rPr>
      <w:rFonts w:ascii="Tahoma" w:hAnsi="Tahoma" w:cs="Tahoma"/>
      <w:sz w:val="16"/>
      <w:szCs w:val="16"/>
    </w:rPr>
  </w:style>
  <w:style w:type="character" w:customStyle="1" w:styleId="StandardDeckblattZchn">
    <w:name w:val="Standard Deckblatt Zchn"/>
    <w:link w:val="StandardDeckblatt"/>
    <w:rPr>
      <w:rFonts w:ascii="Arial" w:hAnsi="Arial"/>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pacing w:before="240" w:line="264" w:lineRule="auto"/>
      <w:jc w:val="both"/>
    </w:pPr>
    <w:rPr>
      <w:sz w:val="22"/>
    </w:rPr>
  </w:style>
  <w:style w:type="paragraph" w:styleId="berschrift1">
    <w:name w:val="heading 1"/>
    <w:next w:val="Standard"/>
    <w:qFormat/>
    <w:pPr>
      <w:keepNext/>
      <w:pageBreakBefore/>
      <w:numPr>
        <w:numId w:val="9"/>
      </w:numPr>
      <w:spacing w:before="600"/>
      <w:outlineLvl w:val="0"/>
    </w:pPr>
    <w:rPr>
      <w:rFonts w:ascii="Arial" w:hAnsi="Arial"/>
      <w:sz w:val="30"/>
    </w:rPr>
  </w:style>
  <w:style w:type="paragraph" w:styleId="berschrift2">
    <w:name w:val="heading 2"/>
    <w:basedOn w:val="StandardGliederung"/>
    <w:next w:val="Standard"/>
    <w:qFormat/>
    <w:pPr>
      <w:keepLines w:val="0"/>
      <w:pageBreakBefore/>
      <w:numPr>
        <w:ilvl w:val="1"/>
        <w:numId w:val="9"/>
      </w:numPr>
      <w:ind w:left="0" w:firstLine="0"/>
      <w:outlineLvl w:val="1"/>
    </w:pPr>
    <w:rPr>
      <w:sz w:val="26"/>
    </w:rPr>
  </w:style>
  <w:style w:type="paragraph" w:styleId="berschrift3">
    <w:name w:val="heading 3"/>
    <w:basedOn w:val="StandardGliederung"/>
    <w:next w:val="Standard"/>
    <w:qFormat/>
    <w:pPr>
      <w:keepLines w:val="0"/>
      <w:numPr>
        <w:ilvl w:val="2"/>
        <w:numId w:val="9"/>
      </w:numPr>
      <w:ind w:left="0" w:firstLine="0"/>
      <w:outlineLvl w:val="2"/>
    </w:pPr>
  </w:style>
  <w:style w:type="paragraph" w:styleId="berschrift4">
    <w:name w:val="heading 4"/>
    <w:basedOn w:val="StandardGliederung"/>
    <w:next w:val="Standard"/>
    <w:qFormat/>
    <w:pPr>
      <w:keepLines w:val="0"/>
      <w:numPr>
        <w:ilvl w:val="3"/>
        <w:numId w:val="9"/>
      </w:numPr>
      <w:ind w:left="0" w:firstLine="0"/>
      <w:outlineLvl w:val="3"/>
    </w:pPr>
  </w:style>
  <w:style w:type="paragraph" w:styleId="berschrift5">
    <w:name w:val="heading 5"/>
    <w:basedOn w:val="StandardGliederung"/>
    <w:next w:val="Standard"/>
    <w:qFormat/>
    <w:pPr>
      <w:keepLines w:val="0"/>
      <w:numPr>
        <w:ilvl w:val="4"/>
        <w:numId w:val="9"/>
      </w:numPr>
      <w:ind w:left="0" w:firstLine="0"/>
      <w:outlineLvl w:val="4"/>
    </w:pPr>
  </w:style>
  <w:style w:type="paragraph" w:styleId="berschrift6">
    <w:name w:val="heading 6"/>
    <w:basedOn w:val="StandardGliederung"/>
    <w:next w:val="Standard"/>
    <w:qFormat/>
    <w:pPr>
      <w:keepLines w:val="0"/>
      <w:numPr>
        <w:ilvl w:val="5"/>
        <w:numId w:val="9"/>
      </w:numPr>
      <w:ind w:left="0" w:firstLine="0"/>
      <w:outlineLvl w:val="5"/>
    </w:pPr>
  </w:style>
  <w:style w:type="paragraph" w:styleId="berschrift7">
    <w:name w:val="heading 7"/>
    <w:basedOn w:val="StandardGliederung"/>
    <w:next w:val="Standard"/>
    <w:qFormat/>
    <w:pPr>
      <w:keepLines w:val="0"/>
      <w:numPr>
        <w:ilvl w:val="6"/>
        <w:numId w:val="9"/>
      </w:numPr>
      <w:ind w:left="0" w:firstLine="0"/>
      <w:outlineLvl w:val="6"/>
    </w:pPr>
  </w:style>
  <w:style w:type="paragraph" w:styleId="berschrift8">
    <w:name w:val="heading 8"/>
    <w:basedOn w:val="StandardGliederung"/>
    <w:next w:val="Standard"/>
    <w:qFormat/>
    <w:pPr>
      <w:keepLines w:val="0"/>
      <w:numPr>
        <w:ilvl w:val="7"/>
        <w:numId w:val="9"/>
      </w:numPr>
      <w:ind w:left="0" w:firstLine="0"/>
      <w:outlineLvl w:val="7"/>
    </w:pPr>
  </w:style>
  <w:style w:type="paragraph" w:styleId="berschrift9">
    <w:name w:val="heading 9"/>
    <w:basedOn w:val="StandardGliederung"/>
    <w:next w:val="Standard"/>
    <w:qFormat/>
    <w:pPr>
      <w:keepLines w:val="0"/>
      <w:numPr>
        <w:ilvl w:val="8"/>
        <w:numId w:val="9"/>
      </w:numPr>
      <w:ind w:left="0" w:firstLine="0"/>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Gliederung">
    <w:name w:val="Standard Gliederung"/>
    <w:basedOn w:val="Standard"/>
    <w:next w:val="Standard"/>
    <w:pPr>
      <w:keepNext/>
      <w:keepLines/>
      <w:spacing w:before="480"/>
      <w:ind w:left="851" w:hanging="851"/>
      <w:jc w:val="left"/>
    </w:pPr>
    <w:rPr>
      <w:rFonts w:ascii="Arial" w:hAnsi="Arial"/>
    </w:rPr>
  </w:style>
  <w:style w:type="character" w:styleId="Seitenzahl">
    <w:name w:val="page number"/>
    <w:basedOn w:val="Absatz-Standardschriftart"/>
  </w:style>
  <w:style w:type="paragraph" w:styleId="Funotentext">
    <w:name w:val="footnote text"/>
    <w:basedOn w:val="Standard"/>
    <w:semiHidden/>
    <w:pPr>
      <w:keepLines/>
      <w:spacing w:before="60"/>
      <w:ind w:left="567" w:hanging="284"/>
    </w:pPr>
    <w:rPr>
      <w:sz w:val="18"/>
    </w:rPr>
  </w:style>
  <w:style w:type="character" w:styleId="Funotenzeichen">
    <w:name w:val="footnote reference"/>
    <w:semiHidden/>
    <w:rPr>
      <w:position w:val="6"/>
      <w:sz w:val="18"/>
    </w:rPr>
  </w:style>
  <w:style w:type="paragraph" w:customStyle="1" w:styleId="Tabellenberschrift">
    <w:name w:val="Tabellenüberschrift"/>
    <w:basedOn w:val="Standard"/>
    <w:pPr>
      <w:spacing w:before="60" w:after="60"/>
    </w:pPr>
    <w:rPr>
      <w:rFonts w:ascii="Arial" w:hAnsi="Arial"/>
      <w:b/>
    </w:rPr>
  </w:style>
  <w:style w:type="paragraph" w:customStyle="1" w:styleId="StandardKopfFu">
    <w:name w:val="Standard Kopf&amp;Fuß"/>
    <w:basedOn w:val="Standard"/>
    <w:pPr>
      <w:spacing w:before="0"/>
      <w:jc w:val="left"/>
    </w:pPr>
    <w:rPr>
      <w:rFonts w:ascii="Arial" w:hAnsi="Arial"/>
      <w:sz w:val="18"/>
    </w:rPr>
  </w:style>
  <w:style w:type="paragraph" w:customStyle="1" w:styleId="StandardTabelle">
    <w:name w:val="Standard Tabelle"/>
    <w:basedOn w:val="Standard"/>
    <w:pPr>
      <w:spacing w:before="120" w:after="120"/>
      <w:jc w:val="left"/>
    </w:pPr>
  </w:style>
  <w:style w:type="paragraph" w:customStyle="1" w:styleId="StandardVerzeichnis">
    <w:name w:val="Standard Verzeichnis"/>
    <w:basedOn w:val="Standard"/>
    <w:pPr>
      <w:keepLines/>
      <w:tabs>
        <w:tab w:val="right" w:pos="8789"/>
      </w:tabs>
      <w:spacing w:before="60"/>
      <w:ind w:left="284" w:right="284" w:hanging="284"/>
      <w:jc w:val="left"/>
    </w:pPr>
    <w:rPr>
      <w:noProof/>
    </w:rPr>
  </w:style>
  <w:style w:type="paragraph" w:styleId="Standardeinzug">
    <w:name w:val="Normal Indent"/>
    <w:basedOn w:val="Standard"/>
    <w:pPr>
      <w:ind w:left="708"/>
    </w:pPr>
  </w:style>
  <w:style w:type="paragraph" w:styleId="Verzeichnis1">
    <w:name w:val="toc 1"/>
    <w:basedOn w:val="StandardVerzeichnis"/>
    <w:uiPriority w:val="39"/>
    <w:pPr>
      <w:tabs>
        <w:tab w:val="clear" w:pos="8789"/>
        <w:tab w:val="right" w:pos="9356"/>
      </w:tabs>
      <w:spacing w:before="240"/>
      <w:ind w:right="737"/>
    </w:pPr>
    <w:rPr>
      <w:b/>
    </w:rPr>
  </w:style>
  <w:style w:type="paragraph" w:styleId="Verzeichnis2">
    <w:name w:val="toc 2"/>
    <w:basedOn w:val="StandardVerzeichnis"/>
    <w:uiPriority w:val="39"/>
    <w:pPr>
      <w:tabs>
        <w:tab w:val="clear" w:pos="8789"/>
        <w:tab w:val="right" w:pos="9356"/>
      </w:tabs>
      <w:spacing w:before="120"/>
      <w:ind w:left="851" w:right="737" w:hanging="567"/>
    </w:pPr>
  </w:style>
  <w:style w:type="paragraph" w:styleId="Verzeichnis3">
    <w:name w:val="toc 3"/>
    <w:basedOn w:val="StandardVerzeichnis"/>
    <w:pPr>
      <w:tabs>
        <w:tab w:val="clear" w:pos="8789"/>
        <w:tab w:val="right" w:pos="9356"/>
      </w:tabs>
      <w:ind w:left="1560" w:right="737" w:hanging="709"/>
    </w:pPr>
  </w:style>
  <w:style w:type="paragraph" w:styleId="Verzeichnis4">
    <w:name w:val="toc 4"/>
    <w:basedOn w:val="StandardVerzeichnis"/>
    <w:pPr>
      <w:tabs>
        <w:tab w:val="clear" w:pos="8789"/>
        <w:tab w:val="right" w:pos="9356"/>
      </w:tabs>
      <w:ind w:left="2410" w:right="737" w:hanging="851"/>
    </w:pPr>
  </w:style>
  <w:style w:type="paragraph" w:styleId="Aufzhlungszeichen">
    <w:name w:val="List Bullet"/>
    <w:basedOn w:val="Standard"/>
    <w:pPr>
      <w:widowControl w:val="0"/>
      <w:numPr>
        <w:numId w:val="3"/>
      </w:numPr>
      <w:tabs>
        <w:tab w:val="clear" w:pos="360"/>
      </w:tabs>
      <w:ind w:left="357" w:hanging="357"/>
    </w:pPr>
  </w:style>
  <w:style w:type="paragraph" w:styleId="Fuzeile">
    <w:name w:val="footer"/>
    <w:basedOn w:val="StandardKopfFu"/>
    <w:pPr>
      <w:pBdr>
        <w:top w:val="single" w:sz="6" w:space="1" w:color="808080"/>
        <w:between w:val="single" w:sz="6" w:space="1" w:color="auto"/>
      </w:pBdr>
      <w:tabs>
        <w:tab w:val="right" w:pos="8789"/>
      </w:tabs>
      <w:jc w:val="center"/>
    </w:pPr>
  </w:style>
  <w:style w:type="paragraph" w:styleId="Kopfzeile">
    <w:name w:val="header"/>
    <w:basedOn w:val="Standard"/>
    <w:pPr>
      <w:tabs>
        <w:tab w:val="center" w:pos="4536"/>
        <w:tab w:val="right" w:pos="9072"/>
      </w:tabs>
      <w:spacing w:before="0" w:line="240" w:lineRule="auto"/>
    </w:pPr>
    <w:rPr>
      <w:rFonts w:ascii="Arial" w:hAnsi="Arial"/>
      <w:sz w:val="18"/>
    </w:rPr>
  </w:style>
  <w:style w:type="paragraph" w:styleId="Beschriftung">
    <w:name w:val="caption"/>
    <w:basedOn w:val="Standard"/>
    <w:next w:val="Standard"/>
    <w:qFormat/>
    <w:pPr>
      <w:spacing w:before="120" w:after="120"/>
      <w:jc w:val="center"/>
    </w:pPr>
    <w:rPr>
      <w:i/>
    </w:rPr>
  </w:style>
  <w:style w:type="paragraph" w:customStyle="1" w:styleId="Abbildung">
    <w:name w:val="Abbildung"/>
    <w:basedOn w:val="Standard"/>
    <w:pPr>
      <w:keepNext/>
      <w:jc w:val="center"/>
    </w:pPr>
  </w:style>
  <w:style w:type="character" w:customStyle="1" w:styleId="Code-Standardschriftart">
    <w:name w:val="Code-Standardschriftart"/>
    <w:rPr>
      <w:rFonts w:ascii="Courier New" w:hAnsi="Courier New"/>
      <w:noProof/>
      <w:sz w:val="22"/>
    </w:rPr>
  </w:style>
  <w:style w:type="paragraph" w:customStyle="1" w:styleId="Unterschriftzeile">
    <w:name w:val="Unterschriftzeile"/>
    <w:basedOn w:val="Standard"/>
    <w:pPr>
      <w:widowControl w:val="0"/>
      <w:tabs>
        <w:tab w:val="left" w:pos="3402"/>
      </w:tabs>
      <w:spacing w:before="480"/>
      <w:jc w:val="left"/>
    </w:pPr>
  </w:style>
  <w:style w:type="paragraph" w:styleId="Verzeichnis5">
    <w:name w:val="toc 5"/>
    <w:basedOn w:val="StandardVerzeichnis"/>
    <w:next w:val="Standard"/>
    <w:pPr>
      <w:tabs>
        <w:tab w:val="clear" w:pos="8789"/>
        <w:tab w:val="right" w:pos="9356"/>
      </w:tabs>
      <w:ind w:left="3544" w:right="737" w:hanging="1134"/>
    </w:pPr>
  </w:style>
  <w:style w:type="paragraph" w:styleId="Verzeichnis6">
    <w:name w:val="toc 6"/>
    <w:basedOn w:val="StandardVerzeichnis"/>
    <w:next w:val="Standard"/>
    <w:pPr>
      <w:tabs>
        <w:tab w:val="clear" w:pos="8789"/>
        <w:tab w:val="right" w:pos="9356"/>
      </w:tabs>
      <w:ind w:left="3970" w:right="737" w:hanging="1418"/>
    </w:pPr>
  </w:style>
  <w:style w:type="paragraph" w:styleId="Verzeichnis7">
    <w:name w:val="toc 7"/>
    <w:basedOn w:val="StandardVerzeichnis"/>
    <w:next w:val="Standard"/>
    <w:pPr>
      <w:tabs>
        <w:tab w:val="clear" w:pos="8789"/>
        <w:tab w:val="right" w:pos="9356"/>
      </w:tabs>
      <w:ind w:left="4394" w:right="737" w:hanging="1701"/>
    </w:pPr>
  </w:style>
  <w:style w:type="paragraph" w:styleId="Verzeichnis8">
    <w:name w:val="toc 8"/>
    <w:basedOn w:val="StandardVerzeichnis"/>
    <w:next w:val="Standard"/>
    <w:pPr>
      <w:tabs>
        <w:tab w:val="clear" w:pos="8789"/>
        <w:tab w:val="right" w:pos="9356"/>
      </w:tabs>
      <w:ind w:left="4678" w:right="737" w:hanging="1843"/>
    </w:pPr>
  </w:style>
  <w:style w:type="paragraph" w:styleId="Verzeichnis9">
    <w:name w:val="toc 9"/>
    <w:basedOn w:val="StandardVerzeichnis"/>
    <w:next w:val="Standard"/>
    <w:semiHidden/>
    <w:pPr>
      <w:tabs>
        <w:tab w:val="clear" w:pos="8789"/>
        <w:tab w:val="right" w:pos="8244"/>
      </w:tabs>
      <w:ind w:left="4962" w:right="737" w:hanging="1985"/>
    </w:pPr>
  </w:style>
  <w:style w:type="paragraph" w:customStyle="1" w:styleId="Zwischenber2">
    <w:name w:val="Zwischenüber 2"/>
    <w:basedOn w:val="Standard"/>
    <w:next w:val="Standard"/>
    <w:pPr>
      <w:keepNext/>
      <w:keepLines/>
    </w:pPr>
    <w:rPr>
      <w:rFonts w:ascii="Arial" w:hAnsi="Arial"/>
      <w:sz w:val="26"/>
    </w:rPr>
  </w:style>
  <w:style w:type="paragraph" w:customStyle="1" w:styleId="Zwischenber1">
    <w:name w:val="Zwischenüber 1"/>
    <w:basedOn w:val="Standard"/>
    <w:next w:val="Standard"/>
    <w:pPr>
      <w:keepNext/>
      <w:keepLines/>
      <w:spacing w:before="600"/>
    </w:pPr>
    <w:rPr>
      <w:rFonts w:ascii="Arial" w:hAnsi="Arial"/>
      <w:sz w:val="30"/>
    </w:rPr>
  </w:style>
  <w:style w:type="character" w:styleId="Hyperlink">
    <w:name w:val="Hyperlink"/>
    <w:rPr>
      <w:color w:val="0000FF"/>
      <w:u w:val="single"/>
    </w:rPr>
  </w:style>
  <w:style w:type="table" w:styleId="Tabellenraster">
    <w:name w:val="Table Grid"/>
    <w:basedOn w:val="NormaleTabelle"/>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kblattUntertitel">
    <w:name w:val="Deckblatt Untertitel"/>
    <w:pPr>
      <w:spacing w:before="3600"/>
      <w:ind w:right="1304"/>
    </w:pPr>
    <w:rPr>
      <w:rFonts w:ascii="Arial" w:hAnsi="Arial"/>
      <w:sz w:val="40"/>
    </w:rPr>
  </w:style>
  <w:style w:type="paragraph" w:customStyle="1" w:styleId="DeckblattAutor">
    <w:name w:val="Deckblatt Autor"/>
    <w:pPr>
      <w:spacing w:before="440" w:after="440"/>
    </w:pPr>
    <w:rPr>
      <w:rFonts w:ascii="Arial" w:hAnsi="Arial"/>
      <w:sz w:val="26"/>
    </w:rPr>
  </w:style>
  <w:style w:type="paragraph" w:customStyle="1" w:styleId="AufsatzDeckblattVersion">
    <w:name w:val="Aufsatz Deckblatt Version"/>
    <w:basedOn w:val="StandardDeckblatt"/>
    <w:pPr>
      <w:spacing w:before="440"/>
    </w:pPr>
    <w:rPr>
      <w:sz w:val="22"/>
    </w:rPr>
  </w:style>
  <w:style w:type="paragraph" w:customStyle="1" w:styleId="StandardDeckblatt">
    <w:name w:val="Standard Deckblatt"/>
    <w:link w:val="StandardDeckblattZchn"/>
    <w:pPr>
      <w:tabs>
        <w:tab w:val="left" w:pos="1531"/>
      </w:tabs>
    </w:pPr>
    <w:rPr>
      <w:rFonts w:ascii="Arial" w:hAnsi="Arial"/>
      <w:sz w:val="26"/>
    </w:rPr>
  </w:style>
  <w:style w:type="paragraph" w:customStyle="1" w:styleId="DeckblattAdresse">
    <w:name w:val="Deckblatt Adresse"/>
    <w:pPr>
      <w:framePr w:w="2739" w:hSpace="142" w:vSpace="142" w:wrap="around" w:vAnchor="page" w:hAnchor="margin" w:x="8245" w:y="14255"/>
      <w:tabs>
        <w:tab w:val="left" w:pos="709"/>
        <w:tab w:val="left" w:pos="1496"/>
      </w:tabs>
    </w:pPr>
    <w:rPr>
      <w:rFonts w:ascii="Arial" w:hAnsi="Arial"/>
      <w:noProof/>
      <w:sz w:val="14"/>
    </w:rPr>
  </w:style>
  <w:style w:type="paragraph" w:customStyle="1" w:styleId="AufsatzKopfzeile">
    <w:name w:val="Aufsatz Kopfzeile"/>
    <w:link w:val="AufsatzKopfzeileChar"/>
    <w:rPr>
      <w:rFonts w:ascii="Arial" w:hAnsi="Arial"/>
      <w:sz w:val="18"/>
    </w:rPr>
  </w:style>
  <w:style w:type="paragraph" w:customStyle="1" w:styleId="AufsatzFuzeile">
    <w:name w:val="Aufsatz Fußzeile"/>
    <w:pPr>
      <w:framePr w:hSpace="142" w:wrap="around" w:vAnchor="text" w:hAnchor="text" w:y="29"/>
      <w:jc w:val="center"/>
    </w:pPr>
    <w:rPr>
      <w:rFonts w:ascii="Arial" w:hAnsi="Arial"/>
      <w:sz w:val="18"/>
    </w:rPr>
  </w:style>
  <w:style w:type="character" w:customStyle="1" w:styleId="AufsatzKopfzeileChar">
    <w:name w:val="Aufsatz Kopfzeile Char"/>
    <w:link w:val="AufsatzKopfzeile"/>
    <w:rPr>
      <w:rFonts w:ascii="Arial" w:hAnsi="Arial"/>
      <w:sz w:val="18"/>
      <w:lang w:val="de-DE" w:eastAsia="de-DE" w:bidi="ar-SA"/>
    </w:rPr>
  </w:style>
  <w:style w:type="paragraph" w:customStyle="1" w:styleId="AufsatzDeckblattFuzeile">
    <w:name w:val="Aufsatz Deckblatt Fußzeile"/>
    <w:rPr>
      <w:rFonts w:ascii="Arial" w:hAnsi="Arial"/>
      <w:sz w:val="16"/>
    </w:rPr>
  </w:style>
  <w:style w:type="paragraph" w:customStyle="1" w:styleId="AufsatzAdressblock">
    <w:name w:val="Aufsatz Adressblock"/>
    <w:pPr>
      <w:framePr w:w="2098" w:h="1412" w:hSpace="142" w:wrap="around" w:hAnchor="margin" w:x="8245" w:y="12214"/>
    </w:pPr>
    <w:rPr>
      <w:rFonts w:ascii="Arial" w:hAnsi="Arial"/>
      <w:sz w:val="14"/>
    </w:rPr>
  </w:style>
  <w:style w:type="paragraph" w:customStyle="1" w:styleId="AufsatzAdressblockgrau">
    <w:name w:val="Aufsatz Adressblock grau"/>
    <w:basedOn w:val="AufsatzAdressblock"/>
    <w:pPr>
      <w:framePr w:wrap="around"/>
    </w:pPr>
    <w:rPr>
      <w:color w:val="999999"/>
      <w:szCs w:val="14"/>
    </w:rPr>
  </w:style>
  <w:style w:type="paragraph" w:customStyle="1" w:styleId="DeckblattTitel">
    <w:name w:val="Deckblatt Titel"/>
    <w:basedOn w:val="StandardDeckblatt"/>
    <w:rPr>
      <w:szCs w:val="22"/>
    </w:rPr>
  </w:style>
  <w:style w:type="paragraph" w:customStyle="1" w:styleId="AufsatzAdressblockgrn">
    <w:name w:val="Aufsatz Adressblock grün"/>
    <w:pPr>
      <w:framePr w:w="2415" w:h="1412" w:wrap="around" w:hAnchor="margin" w:x="8223" w:y="12078"/>
    </w:pPr>
    <w:rPr>
      <w:rFonts w:ascii="Arial" w:hAnsi="Arial"/>
      <w:color w:val="008000"/>
      <w:sz w:val="14"/>
    </w:rPr>
  </w:style>
  <w:style w:type="paragraph" w:customStyle="1" w:styleId="ZeugnisAdressbox">
    <w:name w:val="Zeugnis Adressbox"/>
    <w:pPr>
      <w:framePr w:w="2415" w:wrap="auto" w:hAnchor="text" w:x="8223" w:y="12248"/>
    </w:pPr>
    <w:rPr>
      <w:rFonts w:ascii="Arial" w:hAnsi="Arial"/>
      <w:sz w:val="14"/>
    </w:rPr>
  </w:style>
  <w:style w:type="paragraph" w:customStyle="1" w:styleId="BriefFooter1">
    <w:name w:val="Brief Footer 1"/>
    <w:rPr>
      <w:rFonts w:ascii="Arial" w:hAnsi="Arial"/>
      <w:sz w:val="14"/>
    </w:rPr>
  </w:style>
  <w:style w:type="character" w:styleId="Kommentarzeichen">
    <w:name w:val="annotation reference"/>
    <w:rPr>
      <w:sz w:val="16"/>
      <w:szCs w:val="16"/>
    </w:rPr>
  </w:style>
  <w:style w:type="paragraph" w:styleId="Kommentartext">
    <w:name w:val="annotation text"/>
    <w:basedOn w:val="Standard"/>
    <w:link w:val="KommentartextZchn"/>
    <w:rPr>
      <w:sz w:val="20"/>
    </w:rPr>
  </w:style>
  <w:style w:type="character" w:customStyle="1" w:styleId="KommentartextZchn">
    <w:name w:val="Kommentartext Zchn"/>
    <w:basedOn w:val="Absatz-Standardschriftart"/>
    <w:link w:val="Kommentartext"/>
  </w:style>
  <w:style w:type="paragraph" w:styleId="Kommentarthema">
    <w:name w:val="annotation subject"/>
    <w:basedOn w:val="Kommentartext"/>
    <w:next w:val="Kommentartext"/>
    <w:link w:val="KommentarthemaZchn"/>
    <w:rPr>
      <w:b/>
      <w:bCs/>
    </w:rPr>
  </w:style>
  <w:style w:type="character" w:customStyle="1" w:styleId="KommentarthemaZchn">
    <w:name w:val="Kommentarthema Zchn"/>
    <w:link w:val="Kommentarthema"/>
    <w:rPr>
      <w:b/>
      <w:bCs/>
    </w:rPr>
  </w:style>
  <w:style w:type="paragraph" w:styleId="Sprechblasentext">
    <w:name w:val="Balloon Text"/>
    <w:basedOn w:val="Standard"/>
    <w:link w:val="SprechblasentextZchn"/>
    <w:pPr>
      <w:spacing w:before="0" w:line="240" w:lineRule="auto"/>
    </w:pPr>
    <w:rPr>
      <w:rFonts w:ascii="Tahoma" w:hAnsi="Tahoma" w:cs="Tahoma"/>
      <w:sz w:val="16"/>
      <w:szCs w:val="16"/>
    </w:rPr>
  </w:style>
  <w:style w:type="character" w:customStyle="1" w:styleId="SprechblasentextZchn">
    <w:name w:val="Sprechblasentext Zchn"/>
    <w:link w:val="Sprechblasentext"/>
    <w:rPr>
      <w:rFonts w:ascii="Tahoma" w:hAnsi="Tahoma" w:cs="Tahoma"/>
      <w:sz w:val="16"/>
      <w:szCs w:val="16"/>
    </w:rPr>
  </w:style>
  <w:style w:type="paragraph" w:styleId="Dokumentstruktur">
    <w:name w:val="Document Map"/>
    <w:basedOn w:val="Standard"/>
    <w:link w:val="DokumentstrukturZchn"/>
    <w:rPr>
      <w:rFonts w:ascii="Tahoma" w:hAnsi="Tahoma" w:cs="Tahoma"/>
      <w:sz w:val="16"/>
      <w:szCs w:val="16"/>
    </w:rPr>
  </w:style>
  <w:style w:type="character" w:customStyle="1" w:styleId="DokumentstrukturZchn">
    <w:name w:val="Dokumentstruktur Zchn"/>
    <w:link w:val="Dokumentstruktur"/>
    <w:rPr>
      <w:rFonts w:ascii="Tahoma" w:hAnsi="Tahoma" w:cs="Tahoma"/>
      <w:sz w:val="16"/>
      <w:szCs w:val="16"/>
    </w:rPr>
  </w:style>
  <w:style w:type="character" w:customStyle="1" w:styleId="StandardDeckblattZchn">
    <w:name w:val="Standard Deckblatt Zchn"/>
    <w:link w:val="StandardDeckblatt"/>
    <w:rPr>
      <w:rFonts w:ascii="Arial" w:hAnsi="Arial"/>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391256">
      <w:bodyDiv w:val="1"/>
      <w:marLeft w:val="0"/>
      <w:marRight w:val="0"/>
      <w:marTop w:val="0"/>
      <w:marBottom w:val="0"/>
      <w:divBdr>
        <w:top w:val="none" w:sz="0" w:space="0" w:color="auto"/>
        <w:left w:val="none" w:sz="0" w:space="0" w:color="auto"/>
        <w:bottom w:val="none" w:sz="0" w:space="0" w:color="auto"/>
        <w:right w:val="none" w:sz="0" w:space="0" w:color="auto"/>
      </w:divBdr>
    </w:div>
    <w:div w:id="111903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image" Target="media/image7.emf"/><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footnotes" Target="footnotes.xml"/><Relationship Id="rId12" Type="http://schemas.openxmlformats.org/officeDocument/2006/relationships/hyperlink" Target="http://creativecommons.org/licenses/by/4.0" TargetMode="External"/><Relationship Id="rId17" Type="http://schemas.openxmlformats.org/officeDocument/2006/relationships/footer" Target="footer3.xml"/><Relationship Id="rId25"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5.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reativecommons.org/licenses/by/4.0" TargetMode="External"/><Relationship Id="rId24" Type="http://schemas.openxmlformats.org/officeDocument/2006/relationships/image" Target="media/image5.emf"/><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4.emf"/><Relationship Id="rId28" Type="http://schemas.openxmlformats.org/officeDocument/2006/relationships/header" Target="header4.xml"/><Relationship Id="rId10" Type="http://schemas.openxmlformats.org/officeDocument/2006/relationships/hyperlink" Target="http://www.isyfact.de" TargetMode="External"/><Relationship Id="rId19" Type="http://schemas.openxmlformats.org/officeDocument/2006/relationships/footer" Target="footer4.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image" Target="media/image3.emf"/><Relationship Id="rId27" Type="http://schemas.openxmlformats.org/officeDocument/2006/relationships/image" Target="media/image8.emf"/><Relationship Id="rId30"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6C108-4274-4017-BCD7-29E791949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Anleitung_zu_Datenflussdiagrammen.dotx</Template>
  <TotalTime>0</TotalTime>
  <Pages>1</Pages>
  <Words>821</Words>
  <Characters>5579</Characters>
  <DocSecurity>0</DocSecurity>
  <PresentationFormat/>
  <Lines>182</Lines>
  <Paragraphs>86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Anleitung zu Datenflussdiagrammen</vt:lpstr>
      <vt:lpstr>Datenflussdiagramme</vt:lpstr>
    </vt:vector>
  </TitlesOfParts>
  <Manager/>
  <Company/>
  <LinksUpToDate>false</LinksUpToDate>
  <CharactersWithSpaces>6313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Bundesverwaltungsamt</dc:creator>
  <cp:keywords/>
  <dc:description/>
  <cp:lastModifiedBy>Bundesverwaltungsamt</cp:lastModifiedBy>
  <cp:lastPrinted>2013-09-28T21:23:00Z</cp:lastPrinted>
  <dcterms:created xsi:type="dcterms:W3CDTF">2017-07-10T13:07:00Z</dcterms:created>
  <dcterms:modified xsi:type="dcterms:W3CDTF">2022-03-16T15:32:00Z</dcterms:modified>
  <cp:category/>
  <cp:contentStatus/>
  <dc:language/>
  <cp:version/>
</cp:coreProperties>
</file>